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2F" w:rsidRPr="00E249AD" w:rsidRDefault="00E65209" w:rsidP="0061089C">
      <w:pPr>
        <w:jc w:val="center"/>
        <w:rPr>
          <w:rFonts w:asciiTheme="minorHAnsi" w:eastAsiaTheme="minorHAnsi" w:hAnsiTheme="minorHAnsi" w:cs="David"/>
          <w:color w:val="000000" w:themeColor="text1"/>
          <w:sz w:val="24"/>
          <w:szCs w:val="24"/>
          <w:rtl/>
        </w:rPr>
      </w:pPr>
      <w:r w:rsidRPr="007B4990">
        <w:rPr>
          <w:rFonts w:ascii="Times New Roman" w:eastAsia="Times New Roman" w:hAnsi="Times New Roman" w:cs="David"/>
          <w:sz w:val="24"/>
          <w:szCs w:val="24"/>
          <w:rtl/>
        </w:rPr>
        <w:br/>
      </w:r>
    </w:p>
    <w:p w:rsidR="00DB01FE" w:rsidRPr="00357C26" w:rsidRDefault="0061089C" w:rsidP="00357C26">
      <w:pPr>
        <w:pStyle w:val="1"/>
      </w:pPr>
      <w:r w:rsidRPr="00357C26">
        <w:rPr>
          <w:rFonts w:hint="cs"/>
          <w:rtl/>
        </w:rPr>
        <w:t>איסוף</w:t>
      </w:r>
      <w:r w:rsidRPr="00357C26">
        <w:rPr>
          <w:rtl/>
        </w:rPr>
        <w:t xml:space="preserve"> </w:t>
      </w:r>
      <w:r w:rsidRPr="00357C26">
        <w:rPr>
          <w:rFonts w:hint="cs"/>
          <w:rtl/>
        </w:rPr>
        <w:t>המידע</w:t>
      </w:r>
      <w:r w:rsidRPr="00357C26">
        <w:rPr>
          <w:rtl/>
        </w:rPr>
        <w:t xml:space="preserve"> </w:t>
      </w:r>
      <w:r w:rsidR="00E65209" w:rsidRPr="00357C26">
        <w:rPr>
          <w:rFonts w:hint="cs"/>
          <w:rtl/>
        </w:rPr>
        <w:t>רישומו</w:t>
      </w:r>
      <w:r w:rsidR="00E65209" w:rsidRPr="00357C26">
        <w:rPr>
          <w:rtl/>
        </w:rPr>
        <w:t xml:space="preserve"> </w:t>
      </w:r>
      <w:r w:rsidRPr="00357C26">
        <w:rPr>
          <w:rFonts w:hint="cs"/>
          <w:rtl/>
        </w:rPr>
        <w:t>ודיווחו</w:t>
      </w:r>
      <w:r w:rsidRPr="00357C26">
        <w:rPr>
          <w:rtl/>
        </w:rPr>
        <w:t xml:space="preserve"> </w:t>
      </w:r>
      <w:r w:rsidR="00EF5A9D" w:rsidRPr="00357C26">
        <w:rPr>
          <w:rFonts w:hint="cs"/>
          <w:rtl/>
        </w:rPr>
        <w:t>למערכת</w:t>
      </w:r>
      <w:r w:rsidR="00EF5A9D" w:rsidRPr="00357C26">
        <w:rPr>
          <w:rtl/>
        </w:rPr>
        <w:t xml:space="preserve"> </w:t>
      </w:r>
      <w:r w:rsidR="00EF5A9D" w:rsidRPr="00357C26">
        <w:rPr>
          <w:rFonts w:hint="cs"/>
          <w:rtl/>
        </w:rPr>
        <w:t>נתוני</w:t>
      </w:r>
      <w:r w:rsidR="00EF5A9D" w:rsidRPr="00357C26">
        <w:rPr>
          <w:rtl/>
        </w:rPr>
        <w:t xml:space="preserve"> </w:t>
      </w:r>
      <w:r w:rsidR="00EF5A9D" w:rsidRPr="00357C26">
        <w:rPr>
          <w:rFonts w:hint="cs"/>
          <w:rtl/>
        </w:rPr>
        <w:t>אשראי</w:t>
      </w:r>
    </w:p>
    <w:p w:rsidR="00DB01FE" w:rsidRPr="00EF5A9D" w:rsidRDefault="00E65209" w:rsidP="00C9094D">
      <w:pPr>
        <w:pStyle w:val="2"/>
        <w:jc w:val="both"/>
        <w:rPr>
          <w:rFonts w:cs="David"/>
          <w:b w:val="0"/>
          <w:bCs/>
          <w:sz w:val="24"/>
          <w:szCs w:val="24"/>
        </w:rPr>
      </w:pPr>
      <w:bookmarkStart w:id="0" w:name="_gjdgxs" w:colFirst="0" w:colLast="0"/>
      <w:bookmarkStart w:id="1" w:name="_30j0zll" w:colFirst="0" w:colLast="0"/>
      <w:bookmarkEnd w:id="0"/>
      <w:bookmarkEnd w:id="1"/>
      <w:r w:rsidRPr="00EF5A9D">
        <w:rPr>
          <w:rFonts w:cs="David" w:hint="cs"/>
          <w:b w:val="0"/>
          <w:bCs/>
          <w:sz w:val="24"/>
          <w:szCs w:val="24"/>
          <w:rtl/>
        </w:rPr>
        <w:t>מבוא</w:t>
      </w:r>
    </w:p>
    <w:p w:rsidR="00DB01FE" w:rsidRPr="00315E8C" w:rsidRDefault="00E65209" w:rsidP="00A54E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315E8C">
        <w:rPr>
          <w:rFonts w:cs="David"/>
          <w:sz w:val="24"/>
          <w:szCs w:val="24"/>
          <w:rtl/>
        </w:rPr>
        <w:t>איסוף המידע, רישומו</w:t>
      </w:r>
      <w:r w:rsidR="00E735DD" w:rsidRPr="00315E8C">
        <w:rPr>
          <w:rFonts w:cs="David" w:hint="cs"/>
          <w:sz w:val="24"/>
          <w:szCs w:val="24"/>
          <w:rtl/>
        </w:rPr>
        <w:t xml:space="preserve"> וניהולו, לרבות </w:t>
      </w:r>
      <w:r w:rsidRPr="00315E8C">
        <w:rPr>
          <w:rFonts w:cs="David"/>
          <w:sz w:val="24"/>
          <w:szCs w:val="24"/>
          <w:rtl/>
        </w:rPr>
        <w:t xml:space="preserve">העברתו </w:t>
      </w:r>
      <w:r w:rsidR="00EF5A9D" w:rsidRPr="00315E8C">
        <w:rPr>
          <w:rFonts w:cs="David"/>
          <w:sz w:val="24"/>
          <w:szCs w:val="24"/>
          <w:rtl/>
        </w:rPr>
        <w:t>למ</w:t>
      </w:r>
      <w:r w:rsidR="00EF5A9D" w:rsidRPr="00315E8C">
        <w:rPr>
          <w:rFonts w:cs="David" w:hint="cs"/>
          <w:sz w:val="24"/>
          <w:szCs w:val="24"/>
          <w:rtl/>
        </w:rPr>
        <w:t xml:space="preserve">ערכת נתוני אשראי </w:t>
      </w:r>
      <w:r w:rsidRPr="00315E8C">
        <w:rPr>
          <w:rFonts w:cs="David"/>
          <w:sz w:val="24"/>
          <w:szCs w:val="24"/>
          <w:rtl/>
        </w:rPr>
        <w:t>הינם הבסיס לקיום מאגר נתוני</w:t>
      </w:r>
      <w:r w:rsidR="00CE249F">
        <w:rPr>
          <w:rFonts w:cs="David" w:hint="cs"/>
          <w:sz w:val="24"/>
          <w:szCs w:val="24"/>
          <w:rtl/>
        </w:rPr>
        <w:t>ם</w:t>
      </w:r>
      <w:r w:rsidRPr="00315E8C">
        <w:rPr>
          <w:rFonts w:cs="David"/>
          <w:sz w:val="24"/>
          <w:szCs w:val="24"/>
          <w:rtl/>
        </w:rPr>
        <w:t xml:space="preserve"> </w:t>
      </w:r>
      <w:r w:rsidR="0094052A" w:rsidRPr="00315E8C">
        <w:rPr>
          <w:rFonts w:cs="David" w:hint="cs"/>
          <w:sz w:val="24"/>
          <w:szCs w:val="24"/>
          <w:rtl/>
        </w:rPr>
        <w:t xml:space="preserve">איכותי ושלם </w:t>
      </w:r>
      <w:r w:rsidRPr="00315E8C">
        <w:rPr>
          <w:rFonts w:cs="David"/>
          <w:sz w:val="24"/>
          <w:szCs w:val="24"/>
          <w:rtl/>
        </w:rPr>
        <w:t xml:space="preserve">בבנק ישראל ולפיכך לאפשרות </w:t>
      </w:r>
      <w:r w:rsidR="0094052A" w:rsidRPr="00315E8C">
        <w:rPr>
          <w:rFonts w:cs="David" w:hint="cs"/>
          <w:sz w:val="24"/>
          <w:szCs w:val="24"/>
          <w:rtl/>
        </w:rPr>
        <w:t>לבצע שיתוף נתונים ככלי</w:t>
      </w:r>
      <w:r w:rsidRPr="00315E8C">
        <w:rPr>
          <w:rFonts w:cs="David"/>
          <w:sz w:val="24"/>
          <w:szCs w:val="24"/>
          <w:rtl/>
        </w:rPr>
        <w:t xml:space="preserve"> </w:t>
      </w:r>
      <w:r w:rsidR="0094052A" w:rsidRPr="00315E8C">
        <w:rPr>
          <w:rFonts w:cs="David" w:hint="cs"/>
          <w:sz w:val="24"/>
          <w:szCs w:val="24"/>
          <w:rtl/>
        </w:rPr>
        <w:t>ל</w:t>
      </w:r>
      <w:r w:rsidRPr="00315E8C">
        <w:rPr>
          <w:rFonts w:cs="David"/>
          <w:sz w:val="24"/>
          <w:szCs w:val="24"/>
          <w:rtl/>
        </w:rPr>
        <w:t xml:space="preserve">הערכת סיכון </w:t>
      </w:r>
      <w:r w:rsidR="0094052A" w:rsidRPr="00315E8C">
        <w:rPr>
          <w:rFonts w:cs="David" w:hint="cs"/>
          <w:sz w:val="24"/>
          <w:szCs w:val="24"/>
          <w:rtl/>
        </w:rPr>
        <w:t>ה</w:t>
      </w:r>
      <w:r w:rsidRPr="00315E8C">
        <w:rPr>
          <w:rFonts w:cs="David"/>
          <w:sz w:val="24"/>
          <w:szCs w:val="24"/>
          <w:rtl/>
        </w:rPr>
        <w:t xml:space="preserve">אשראי. </w:t>
      </w:r>
      <w:r w:rsidR="0094052A" w:rsidRPr="00315E8C">
        <w:rPr>
          <w:rFonts w:cs="David" w:hint="cs"/>
          <w:sz w:val="24"/>
          <w:szCs w:val="24"/>
          <w:rtl/>
        </w:rPr>
        <w:t>כל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ליקוי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או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תקלה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בתקינות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המידע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שיש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להם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השפעה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מהותית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על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המערכת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לשיתוף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בנתוני</w:t>
      </w:r>
      <w:r w:rsidR="00664849" w:rsidRPr="00315E8C">
        <w:rPr>
          <w:rFonts w:cs="David"/>
          <w:sz w:val="24"/>
          <w:szCs w:val="24"/>
          <w:rtl/>
        </w:rPr>
        <w:t xml:space="preserve"> </w:t>
      </w:r>
      <w:r w:rsidR="00664849" w:rsidRPr="00315E8C">
        <w:rPr>
          <w:rFonts w:cs="David" w:hint="cs"/>
          <w:sz w:val="24"/>
          <w:szCs w:val="24"/>
          <w:rtl/>
        </w:rPr>
        <w:t>אשראי</w:t>
      </w:r>
      <w:r w:rsidR="0094052A" w:rsidRPr="00315E8C">
        <w:rPr>
          <w:rFonts w:cs="David" w:hint="cs"/>
          <w:sz w:val="24"/>
          <w:szCs w:val="24"/>
          <w:rtl/>
        </w:rPr>
        <w:t xml:space="preserve">, </w:t>
      </w:r>
      <w:r w:rsidR="00A54EF3" w:rsidRPr="00315E8C">
        <w:rPr>
          <w:rFonts w:cs="David" w:hint="cs"/>
          <w:sz w:val="24"/>
          <w:szCs w:val="24"/>
          <w:rtl/>
        </w:rPr>
        <w:t>עלול</w:t>
      </w:r>
      <w:r w:rsidR="00A54EF3">
        <w:rPr>
          <w:rFonts w:cs="David" w:hint="cs"/>
          <w:sz w:val="24"/>
          <w:szCs w:val="24"/>
          <w:rtl/>
        </w:rPr>
        <w:t>ים</w:t>
      </w:r>
      <w:r w:rsidR="00A54EF3" w:rsidRPr="00315E8C">
        <w:rPr>
          <w:rFonts w:cs="David" w:hint="cs"/>
          <w:sz w:val="24"/>
          <w:szCs w:val="24"/>
          <w:rtl/>
        </w:rPr>
        <w:t xml:space="preserve"> </w:t>
      </w:r>
      <w:r w:rsidR="00315E8C" w:rsidRPr="00315E8C">
        <w:rPr>
          <w:rFonts w:cs="David" w:hint="cs"/>
          <w:sz w:val="24"/>
          <w:szCs w:val="24"/>
          <w:rtl/>
        </w:rPr>
        <w:t>לפגוע בהשגת יעד זה לרווחת הציבור הרחב וכן לפגוע באמינותה של המערכת</w:t>
      </w:r>
      <w:r w:rsidR="00315E8C">
        <w:rPr>
          <w:rFonts w:cs="David" w:hint="cs"/>
          <w:sz w:val="24"/>
          <w:szCs w:val="24"/>
          <w:rtl/>
        </w:rPr>
        <w:t xml:space="preserve">. </w:t>
      </w:r>
    </w:p>
    <w:p w:rsidR="000C6162" w:rsidRPr="00E249AD" w:rsidRDefault="000C6162" w:rsidP="000C61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bCs/>
          <w:sz w:val="24"/>
          <w:szCs w:val="24"/>
          <w:rtl/>
        </w:rPr>
      </w:pPr>
      <w:r w:rsidRPr="000C6162">
        <w:rPr>
          <w:rFonts w:cs="David" w:hint="cs"/>
          <w:sz w:val="24"/>
          <w:szCs w:val="24"/>
          <w:rtl/>
        </w:rPr>
        <w:t xml:space="preserve">לצורך כך, בין היתר, </w:t>
      </w:r>
      <w:r w:rsidR="003F27B4" w:rsidRPr="000C6162">
        <w:rPr>
          <w:rFonts w:cs="David" w:hint="cs"/>
          <w:sz w:val="24"/>
          <w:szCs w:val="24"/>
          <w:rtl/>
        </w:rPr>
        <w:t xml:space="preserve">נקבעו </w:t>
      </w:r>
      <w:r w:rsidR="00BB68AC" w:rsidRPr="000C6162">
        <w:rPr>
          <w:rFonts w:cs="David" w:hint="cs"/>
          <w:sz w:val="24"/>
          <w:szCs w:val="24"/>
          <w:rtl/>
        </w:rPr>
        <w:t>כללי</w:t>
      </w:r>
      <w:r w:rsidR="00F6153A" w:rsidRPr="000C6162">
        <w:rPr>
          <w:rFonts w:cs="David" w:hint="cs"/>
          <w:sz w:val="24"/>
          <w:szCs w:val="24"/>
          <w:rtl/>
        </w:rPr>
        <w:t xml:space="preserve"> נתוני אשראי (א</w:t>
      </w:r>
      <w:bookmarkStart w:id="2" w:name="_GoBack"/>
      <w:bookmarkEnd w:id="2"/>
      <w:r w:rsidR="00F6153A" w:rsidRPr="000C6162">
        <w:rPr>
          <w:rFonts w:cs="David" w:hint="cs"/>
          <w:sz w:val="24"/>
          <w:szCs w:val="24"/>
          <w:rtl/>
        </w:rPr>
        <w:t xml:space="preserve">בטחת מידע) , </w:t>
      </w:r>
      <w:proofErr w:type="spellStart"/>
      <w:r w:rsidR="00F6153A" w:rsidRPr="000C6162">
        <w:rPr>
          <w:rFonts w:cs="David" w:hint="cs"/>
          <w:sz w:val="24"/>
          <w:szCs w:val="24"/>
          <w:rtl/>
        </w:rPr>
        <w:t>התשע"ט</w:t>
      </w:r>
      <w:proofErr w:type="spellEnd"/>
      <w:r w:rsidR="00F6153A" w:rsidRPr="000C6162">
        <w:rPr>
          <w:rFonts w:cs="David" w:hint="cs"/>
          <w:sz w:val="24"/>
          <w:szCs w:val="24"/>
          <w:rtl/>
        </w:rPr>
        <w:t>-</w:t>
      </w:r>
      <w:r w:rsidR="003F27B4" w:rsidRPr="000C6162">
        <w:rPr>
          <w:rFonts w:cs="David" w:hint="cs"/>
          <w:sz w:val="24"/>
          <w:szCs w:val="24"/>
          <w:rtl/>
        </w:rPr>
        <w:t xml:space="preserve"> </w:t>
      </w:r>
      <w:r w:rsidR="00F6153A" w:rsidRPr="000C6162">
        <w:rPr>
          <w:rFonts w:cs="David" w:hint="cs"/>
          <w:sz w:val="24"/>
          <w:szCs w:val="24"/>
          <w:rtl/>
        </w:rPr>
        <w:t>2018</w:t>
      </w:r>
      <w:r w:rsidR="003F27B4" w:rsidRPr="000C6162">
        <w:rPr>
          <w:rFonts w:cs="David" w:hint="cs"/>
          <w:sz w:val="24"/>
          <w:szCs w:val="24"/>
          <w:rtl/>
        </w:rPr>
        <w:t xml:space="preserve"> (</w:t>
      </w:r>
      <w:r w:rsidR="003F27B4" w:rsidRPr="0061089C">
        <w:rPr>
          <w:rFonts w:cs="David" w:hint="cs"/>
          <w:sz w:val="24"/>
          <w:szCs w:val="24"/>
          <w:rtl/>
        </w:rPr>
        <w:t>להלן</w:t>
      </w:r>
      <w:r w:rsidR="003F27B4" w:rsidRPr="0061089C">
        <w:rPr>
          <w:rFonts w:cs="David"/>
          <w:sz w:val="24"/>
          <w:szCs w:val="24"/>
          <w:rtl/>
        </w:rPr>
        <w:t xml:space="preserve"> –</w:t>
      </w:r>
      <w:r w:rsidR="003F27B4" w:rsidRPr="00E249AD">
        <w:rPr>
          <w:rFonts w:cs="David"/>
          <w:b/>
          <w:bCs/>
          <w:sz w:val="24"/>
          <w:szCs w:val="24"/>
          <w:rtl/>
        </w:rPr>
        <w:t xml:space="preserve"> </w:t>
      </w:r>
      <w:r w:rsidR="003F27B4" w:rsidRPr="00E249AD">
        <w:rPr>
          <w:rFonts w:cs="David" w:hint="cs"/>
          <w:b/>
          <w:bCs/>
          <w:sz w:val="24"/>
          <w:szCs w:val="24"/>
          <w:rtl/>
        </w:rPr>
        <w:t>הכללים</w:t>
      </w:r>
      <w:r w:rsidR="003F27B4" w:rsidRPr="000C6162">
        <w:rPr>
          <w:rFonts w:cs="David" w:hint="cs"/>
          <w:sz w:val="24"/>
          <w:szCs w:val="24"/>
          <w:rtl/>
        </w:rPr>
        <w:t>)</w:t>
      </w:r>
      <w:r w:rsidR="00B416DA" w:rsidRPr="000C6162">
        <w:rPr>
          <w:rFonts w:cs="David" w:hint="cs"/>
          <w:sz w:val="24"/>
          <w:szCs w:val="24"/>
          <w:rtl/>
        </w:rPr>
        <w:t>.</w:t>
      </w:r>
      <w:r w:rsidR="00F6153A" w:rsidRPr="000C6162">
        <w:rPr>
          <w:rFonts w:cs="David" w:hint="cs"/>
          <w:sz w:val="24"/>
          <w:szCs w:val="24"/>
          <w:rtl/>
        </w:rPr>
        <w:t xml:space="preserve"> </w:t>
      </w:r>
    </w:p>
    <w:p w:rsidR="000C6162" w:rsidRPr="00F6153A" w:rsidRDefault="000C6162" w:rsidP="000C61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מתוקף סמכותי לפי סעיף 68 לחוק נתוני אשראי, התשע"ו-2016 (להלן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E249AD">
        <w:rPr>
          <w:rFonts w:cs="David" w:hint="cs"/>
          <w:b/>
          <w:bCs/>
          <w:sz w:val="24"/>
          <w:szCs w:val="24"/>
          <w:rtl/>
        </w:rPr>
        <w:t>החוק</w:t>
      </w:r>
      <w:r>
        <w:rPr>
          <w:rFonts w:cs="David" w:hint="cs"/>
          <w:sz w:val="24"/>
          <w:szCs w:val="24"/>
          <w:rtl/>
        </w:rPr>
        <w:t xml:space="preserve">) הריני מוציא הוראה זו. למען הסר ספק, מובהר בזאת כי הוראה זו מרחיבה על האמור בכללים. </w:t>
      </w:r>
    </w:p>
    <w:p w:rsidR="00DB01FE" w:rsidRPr="00315E8C" w:rsidRDefault="00E65209" w:rsidP="00B416DA">
      <w:pPr>
        <w:pStyle w:val="2"/>
        <w:jc w:val="both"/>
      </w:pPr>
      <w:bookmarkStart w:id="3" w:name="_1fob9te" w:colFirst="0" w:colLast="0"/>
      <w:bookmarkEnd w:id="3"/>
      <w:r w:rsidRPr="00B416DA">
        <w:rPr>
          <w:rFonts w:cs="David" w:hint="cs"/>
          <w:b w:val="0"/>
          <w:bCs/>
          <w:sz w:val="24"/>
          <w:szCs w:val="24"/>
          <w:rtl/>
        </w:rPr>
        <w:t>תחולה</w:t>
      </w:r>
      <w:r w:rsidR="00F6153A">
        <w:rPr>
          <w:rFonts w:hint="cs"/>
          <w:rtl/>
        </w:rPr>
        <w:t xml:space="preserve"> </w:t>
      </w:r>
    </w:p>
    <w:p w:rsidR="00DB01FE" w:rsidRDefault="00E65209" w:rsidP="000C61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7B4990">
        <w:rPr>
          <w:rFonts w:cs="David"/>
          <w:sz w:val="24"/>
          <w:szCs w:val="24"/>
          <w:rtl/>
        </w:rPr>
        <w:t xml:space="preserve">הוראה זו תחול על </w:t>
      </w:r>
      <w:r w:rsidRPr="007B4990">
        <w:rPr>
          <w:rFonts w:cs="David" w:hint="cs"/>
          <w:sz w:val="24"/>
          <w:szCs w:val="24"/>
          <w:rtl/>
        </w:rPr>
        <w:t>מקור מידע</w:t>
      </w:r>
      <w:r w:rsidRPr="007B4990">
        <w:rPr>
          <w:rFonts w:cs="David"/>
          <w:sz w:val="24"/>
          <w:szCs w:val="24"/>
          <w:rtl/>
        </w:rPr>
        <w:t xml:space="preserve"> </w:t>
      </w:r>
      <w:r w:rsidR="000C6162">
        <w:rPr>
          <w:rFonts w:cs="David" w:hint="cs"/>
          <w:sz w:val="24"/>
          <w:szCs w:val="24"/>
          <w:rtl/>
        </w:rPr>
        <w:t xml:space="preserve">כהגדרתו </w:t>
      </w:r>
      <w:r w:rsidRPr="007B4990">
        <w:rPr>
          <w:rFonts w:cs="David"/>
          <w:sz w:val="24"/>
          <w:szCs w:val="24"/>
          <w:rtl/>
        </w:rPr>
        <w:t>בחוק</w:t>
      </w:r>
      <w:r w:rsidRPr="00EF5A9D">
        <w:rPr>
          <w:rFonts w:cs="David"/>
          <w:sz w:val="24"/>
          <w:szCs w:val="24"/>
          <w:rtl/>
        </w:rPr>
        <w:t>.</w:t>
      </w:r>
    </w:p>
    <w:p w:rsidR="00B772F4" w:rsidRPr="007B4990" w:rsidRDefault="00B772F4" w:rsidP="00065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674455">
        <w:rPr>
          <w:rFonts w:asciiTheme="minorBidi" w:hAnsiTheme="minorBidi" w:cs="David" w:hint="eastAsia"/>
          <w:sz w:val="24"/>
          <w:szCs w:val="24"/>
          <w:rtl/>
        </w:rPr>
        <w:t>הממונה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רשאי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לפטור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>
        <w:rPr>
          <w:rFonts w:asciiTheme="minorBidi" w:hAnsiTheme="minorBidi" w:cs="David" w:hint="cs"/>
          <w:sz w:val="24"/>
          <w:szCs w:val="24"/>
          <w:rtl/>
        </w:rPr>
        <w:t>מקור מידע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="00065C7B">
        <w:rPr>
          <w:rFonts w:asciiTheme="minorBidi" w:hAnsiTheme="minorBidi" w:cs="David" w:hint="cs"/>
          <w:sz w:val="24"/>
          <w:szCs w:val="24"/>
          <w:rtl/>
        </w:rPr>
        <w:t xml:space="preserve">מסוים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מקיום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סעיפים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>
        <w:rPr>
          <w:rFonts w:asciiTheme="minorBidi" w:hAnsiTheme="minorBidi" w:cs="David" w:hint="eastAsia"/>
          <w:sz w:val="24"/>
          <w:szCs w:val="24"/>
          <w:rtl/>
        </w:rPr>
        <w:t>מסוי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מים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בהוראה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זו</w:t>
      </w:r>
      <w:r w:rsidR="00065C7B">
        <w:rPr>
          <w:rFonts w:asciiTheme="minorBidi" w:hAnsiTheme="minorBidi" w:cs="David" w:hint="cs"/>
          <w:sz w:val="24"/>
          <w:szCs w:val="24"/>
          <w:rtl/>
        </w:rPr>
        <w:t xml:space="preserve"> או לקבוע הוראות מסוימות שונות מאלו המפורטות להלן</w:t>
      </w:r>
      <w:r w:rsidR="00C8344B">
        <w:rPr>
          <w:rFonts w:asciiTheme="minorBidi" w:hAnsiTheme="minorBidi" w:cs="David" w:hint="cs"/>
          <w:sz w:val="24"/>
          <w:szCs w:val="24"/>
          <w:rtl/>
        </w:rPr>
        <w:t xml:space="preserve"> אשר יחולו על מקור מידע מסוים. זאת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, </w:t>
      </w:r>
      <w:r w:rsidR="00065C7B">
        <w:rPr>
          <w:rFonts w:asciiTheme="minorBidi" w:hAnsiTheme="minorBidi" w:cs="David" w:hint="cs"/>
          <w:sz w:val="24"/>
          <w:szCs w:val="24"/>
          <w:rtl/>
        </w:rPr>
        <w:t xml:space="preserve">במקרים חריגים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לאחר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שבחן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את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בקשת</w:t>
      </w:r>
      <w:r>
        <w:rPr>
          <w:rFonts w:asciiTheme="minorBidi" w:hAnsiTheme="minorBidi" w:cs="David" w:hint="cs"/>
          <w:sz w:val="24"/>
          <w:szCs w:val="24"/>
          <w:rtl/>
        </w:rPr>
        <w:t>ו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ונימוקי</w:t>
      </w:r>
      <w:r>
        <w:rPr>
          <w:rFonts w:asciiTheme="minorBidi" w:hAnsiTheme="minorBidi" w:cs="David" w:hint="cs"/>
          <w:sz w:val="24"/>
          <w:szCs w:val="24"/>
          <w:rtl/>
        </w:rPr>
        <w:t>ו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אשר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נמסרו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לו</w:t>
      </w:r>
      <w:r w:rsidRPr="007A496F">
        <w:rPr>
          <w:rFonts w:asciiTheme="minorBidi" w:hAnsiTheme="minorBidi" w:cs="David"/>
          <w:sz w:val="24"/>
          <w:szCs w:val="24"/>
          <w:rtl/>
        </w:rPr>
        <w:t xml:space="preserve"> </w:t>
      </w:r>
      <w:r w:rsidRPr="007A496F">
        <w:rPr>
          <w:rFonts w:asciiTheme="minorBidi" w:hAnsiTheme="minorBidi" w:cs="David" w:hint="eastAsia"/>
          <w:sz w:val="24"/>
          <w:szCs w:val="24"/>
          <w:rtl/>
        </w:rPr>
        <w:t>בכתב</w:t>
      </w:r>
      <w:r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Pr="006920E5">
        <w:rPr>
          <w:rFonts w:asciiTheme="minorBidi" w:hAnsiTheme="minorBidi" w:cs="David" w:hint="cs"/>
          <w:sz w:val="24"/>
          <w:szCs w:val="24"/>
          <w:rtl/>
        </w:rPr>
        <w:t xml:space="preserve">ורשאי הממונה לקבוע כי הפטור </w:t>
      </w:r>
      <w:r w:rsidR="00065C7B">
        <w:rPr>
          <w:rFonts w:asciiTheme="minorBidi" w:hAnsiTheme="minorBidi" w:cs="David" w:hint="cs"/>
          <w:sz w:val="24"/>
          <w:szCs w:val="24"/>
          <w:rtl/>
        </w:rPr>
        <w:t xml:space="preserve">או ההוראות השונות יחולו </w:t>
      </w:r>
      <w:r w:rsidRPr="006920E5">
        <w:rPr>
          <w:rFonts w:asciiTheme="minorBidi" w:hAnsiTheme="minorBidi" w:cs="David" w:hint="cs"/>
          <w:sz w:val="24"/>
          <w:szCs w:val="24"/>
          <w:rtl/>
        </w:rPr>
        <w:t>לתקופה קצובה כפי שתיקבע על ידו</w:t>
      </w:r>
      <w:r>
        <w:rPr>
          <w:rFonts w:cs="David" w:hint="cs"/>
          <w:sz w:val="24"/>
          <w:szCs w:val="24"/>
          <w:rtl/>
        </w:rPr>
        <w:t>.</w:t>
      </w:r>
    </w:p>
    <w:p w:rsidR="00E65209" w:rsidRPr="007B4990" w:rsidRDefault="00E65209" w:rsidP="00971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</w:p>
    <w:p w:rsidR="00DB01FE" w:rsidRPr="00EF5A9D" w:rsidRDefault="00D80D9F" w:rsidP="00B416DA">
      <w:pPr>
        <w:jc w:val="both"/>
        <w:rPr>
          <w:rFonts w:cs="David"/>
          <w:b/>
          <w:bCs/>
          <w:sz w:val="24"/>
          <w:szCs w:val="24"/>
        </w:rPr>
      </w:pPr>
      <w:bookmarkStart w:id="4" w:name="_3znysh7" w:colFirst="0" w:colLast="0"/>
      <w:bookmarkStart w:id="5" w:name="_2et92p0" w:colFirst="0" w:colLast="0"/>
      <w:bookmarkStart w:id="6" w:name="_tyjcwt" w:colFirst="0" w:colLast="0"/>
      <w:bookmarkEnd w:id="4"/>
      <w:bookmarkEnd w:id="5"/>
      <w:bookmarkEnd w:id="6"/>
      <w:r w:rsidRPr="00EF5A9D">
        <w:rPr>
          <w:rFonts w:cs="David" w:hint="cs"/>
          <w:bCs/>
          <w:sz w:val="24"/>
          <w:szCs w:val="24"/>
          <w:rtl/>
        </w:rPr>
        <w:t>מינוי</w:t>
      </w:r>
      <w:r w:rsidRPr="00EF5A9D">
        <w:rPr>
          <w:rFonts w:cs="David"/>
          <w:bCs/>
          <w:sz w:val="24"/>
          <w:szCs w:val="24"/>
          <w:rtl/>
        </w:rPr>
        <w:t xml:space="preserve"> </w:t>
      </w:r>
      <w:r w:rsidRPr="00EF5A9D">
        <w:rPr>
          <w:rFonts w:cs="David" w:hint="cs"/>
          <w:bCs/>
          <w:sz w:val="24"/>
          <w:szCs w:val="24"/>
          <w:rtl/>
        </w:rPr>
        <w:t>גורם</w:t>
      </w:r>
      <w:r w:rsidRPr="00EF5A9D">
        <w:rPr>
          <w:rFonts w:cs="David"/>
          <w:bCs/>
          <w:sz w:val="24"/>
          <w:szCs w:val="24"/>
          <w:rtl/>
        </w:rPr>
        <w:t xml:space="preserve"> </w:t>
      </w:r>
      <w:r w:rsidRPr="00EF5A9D">
        <w:rPr>
          <w:rFonts w:cs="David" w:hint="cs"/>
          <w:bCs/>
          <w:sz w:val="24"/>
          <w:szCs w:val="24"/>
          <w:rtl/>
        </w:rPr>
        <w:t>אחראי</w:t>
      </w:r>
    </w:p>
    <w:p w:rsidR="00FF276F" w:rsidRDefault="000C6162" w:rsidP="00E249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0C6162">
        <w:rPr>
          <w:rFonts w:cs="David" w:hint="cs"/>
          <w:sz w:val="24"/>
          <w:szCs w:val="24"/>
          <w:rtl/>
        </w:rPr>
        <w:t xml:space="preserve">העובד אשר ימונה על ידי מקור מידע בהתאם להוראות סעיף 1(א)(1) לכללים </w:t>
      </w:r>
      <w:r>
        <w:rPr>
          <w:rFonts w:cs="David" w:hint="cs"/>
          <w:sz w:val="24"/>
          <w:szCs w:val="24"/>
          <w:rtl/>
        </w:rPr>
        <w:t>(להלן</w:t>
      </w:r>
      <w:r>
        <w:rPr>
          <w:rFonts w:cs="David"/>
          <w:sz w:val="24"/>
          <w:szCs w:val="24"/>
          <w:rtl/>
        </w:rPr>
        <w:t>–</w:t>
      </w:r>
      <w:r w:rsidR="00A67472" w:rsidRPr="00E249AD">
        <w:rPr>
          <w:rFonts w:cs="David" w:hint="cs"/>
          <w:b/>
          <w:bCs/>
          <w:sz w:val="24"/>
          <w:szCs w:val="24"/>
          <w:rtl/>
        </w:rPr>
        <w:t>אחראי</w:t>
      </w:r>
      <w:r w:rsidR="00A67472" w:rsidRPr="00E249AD">
        <w:rPr>
          <w:rFonts w:cs="David"/>
          <w:b/>
          <w:bCs/>
          <w:sz w:val="24"/>
          <w:szCs w:val="24"/>
          <w:rtl/>
        </w:rPr>
        <w:t xml:space="preserve"> </w:t>
      </w:r>
      <w:r w:rsidR="00A67472" w:rsidRPr="00E249AD">
        <w:rPr>
          <w:rFonts w:cs="David" w:hint="cs"/>
          <w:b/>
          <w:bCs/>
          <w:sz w:val="24"/>
          <w:szCs w:val="24"/>
          <w:rtl/>
        </w:rPr>
        <w:t>למידע</w:t>
      </w:r>
      <w:r>
        <w:rPr>
          <w:rFonts w:cs="David" w:hint="cs"/>
          <w:sz w:val="24"/>
          <w:szCs w:val="24"/>
          <w:rtl/>
        </w:rPr>
        <w:t>)</w:t>
      </w:r>
      <w:r w:rsidR="005A6424">
        <w:rPr>
          <w:rFonts w:cs="David" w:hint="cs"/>
          <w:sz w:val="24"/>
          <w:szCs w:val="24"/>
          <w:rtl/>
        </w:rPr>
        <w:t xml:space="preserve"> יה</w:t>
      </w:r>
      <w:r>
        <w:rPr>
          <w:rFonts w:cs="David" w:hint="cs"/>
          <w:sz w:val="24"/>
          <w:szCs w:val="24"/>
          <w:rtl/>
        </w:rPr>
        <w:t>יה</w:t>
      </w:r>
      <w:r w:rsidR="003F27B4" w:rsidRPr="003F27B4">
        <w:rPr>
          <w:rFonts w:cs="David"/>
          <w:sz w:val="24"/>
          <w:szCs w:val="24"/>
          <w:rtl/>
        </w:rPr>
        <w:t xml:space="preserve"> ב</w:t>
      </w:r>
      <w:r w:rsidR="00FF276F" w:rsidRPr="003F27B4">
        <w:rPr>
          <w:rFonts w:cs="David" w:hint="eastAsia"/>
          <w:sz w:val="24"/>
          <w:szCs w:val="24"/>
          <w:rtl/>
        </w:rPr>
        <w:t>דרג</w:t>
      </w:r>
      <w:r w:rsidR="00FF276F" w:rsidRPr="003F27B4">
        <w:rPr>
          <w:rFonts w:cs="David"/>
          <w:sz w:val="24"/>
          <w:szCs w:val="24"/>
          <w:rtl/>
        </w:rPr>
        <w:t xml:space="preserve"> של </w:t>
      </w:r>
      <w:r w:rsidR="00C07F9D" w:rsidRPr="003F27B4">
        <w:rPr>
          <w:rFonts w:cs="David" w:hint="eastAsia"/>
          <w:sz w:val="24"/>
          <w:szCs w:val="24"/>
          <w:rtl/>
        </w:rPr>
        <w:t>חבר</w:t>
      </w:r>
      <w:r w:rsidR="00C07F9D" w:rsidRPr="003F27B4">
        <w:rPr>
          <w:rFonts w:cs="David"/>
          <w:sz w:val="24"/>
          <w:szCs w:val="24"/>
          <w:rtl/>
        </w:rPr>
        <w:t xml:space="preserve"> </w:t>
      </w:r>
      <w:r w:rsidR="00C07F9D" w:rsidRPr="003F27B4">
        <w:rPr>
          <w:rFonts w:cs="David" w:hint="eastAsia"/>
          <w:sz w:val="24"/>
          <w:szCs w:val="24"/>
          <w:rtl/>
        </w:rPr>
        <w:t>הנהלה</w:t>
      </w:r>
      <w:r w:rsidR="004814EC" w:rsidRPr="003F27B4">
        <w:rPr>
          <w:rFonts w:cs="David"/>
          <w:sz w:val="24"/>
          <w:szCs w:val="24"/>
          <w:rtl/>
        </w:rPr>
        <w:t xml:space="preserve"> </w:t>
      </w:r>
      <w:r w:rsidR="00FF276F" w:rsidRPr="003F27B4">
        <w:rPr>
          <w:rFonts w:cs="David" w:hint="eastAsia"/>
          <w:sz w:val="24"/>
          <w:szCs w:val="24"/>
          <w:rtl/>
        </w:rPr>
        <w:t>או</w:t>
      </w:r>
      <w:r w:rsidR="00FF276F" w:rsidRPr="003F27B4">
        <w:rPr>
          <w:rFonts w:cs="David"/>
          <w:sz w:val="24"/>
          <w:szCs w:val="24"/>
          <w:rtl/>
        </w:rPr>
        <w:t xml:space="preserve"> מקבילה </w:t>
      </w:r>
      <w:r w:rsidR="004D4465" w:rsidRPr="003F27B4">
        <w:rPr>
          <w:rFonts w:cs="David" w:hint="eastAsia"/>
          <w:sz w:val="24"/>
          <w:szCs w:val="24"/>
          <w:rtl/>
        </w:rPr>
        <w:t>אחרת</w:t>
      </w:r>
      <w:r w:rsidR="003F27B4" w:rsidRPr="003F27B4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</w:t>
      </w:r>
      <w:r w:rsidR="00683742">
        <w:rPr>
          <w:rFonts w:cs="David" w:hint="cs"/>
          <w:sz w:val="24"/>
          <w:szCs w:val="24"/>
          <w:rtl/>
        </w:rPr>
        <w:t xml:space="preserve">מקור המידע יוודא כי </w:t>
      </w:r>
      <w:r>
        <w:rPr>
          <w:rFonts w:cs="David" w:hint="cs"/>
          <w:sz w:val="24"/>
          <w:szCs w:val="24"/>
          <w:rtl/>
        </w:rPr>
        <w:t xml:space="preserve">יוקנו לו הכלים </w:t>
      </w:r>
      <w:r w:rsidR="00683742">
        <w:rPr>
          <w:rFonts w:cs="David" w:hint="cs"/>
          <w:sz w:val="24"/>
          <w:szCs w:val="24"/>
          <w:rtl/>
        </w:rPr>
        <w:t xml:space="preserve">הנדרשים </w:t>
      </w:r>
      <w:r w:rsidR="00FF276F">
        <w:rPr>
          <w:rFonts w:cs="David" w:hint="cs"/>
          <w:sz w:val="24"/>
          <w:szCs w:val="24"/>
          <w:rtl/>
        </w:rPr>
        <w:t>למילוי תפקידו.</w:t>
      </w:r>
    </w:p>
    <w:p w:rsidR="00976D96" w:rsidRDefault="00976D96" w:rsidP="00E249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מקור המידע </w:t>
      </w:r>
      <w:r w:rsidR="000C6162">
        <w:rPr>
          <w:rFonts w:cs="David" w:hint="cs"/>
          <w:sz w:val="24"/>
          <w:szCs w:val="24"/>
          <w:rtl/>
        </w:rPr>
        <w:t xml:space="preserve">ימסור </w:t>
      </w:r>
      <w:r>
        <w:rPr>
          <w:rFonts w:cs="David" w:hint="cs"/>
          <w:sz w:val="24"/>
          <w:szCs w:val="24"/>
          <w:rtl/>
        </w:rPr>
        <w:t xml:space="preserve">לממונה את פרטי </w:t>
      </w:r>
      <w:r w:rsidR="00683742">
        <w:rPr>
          <w:rFonts w:cs="David" w:hint="cs"/>
          <w:sz w:val="24"/>
          <w:szCs w:val="24"/>
          <w:rtl/>
        </w:rPr>
        <w:t xml:space="preserve">האחראי למידע </w:t>
      </w:r>
      <w:r>
        <w:rPr>
          <w:rFonts w:cs="David" w:hint="cs"/>
          <w:sz w:val="24"/>
          <w:szCs w:val="24"/>
          <w:rtl/>
        </w:rPr>
        <w:t>שמונה</w:t>
      </w:r>
      <w:r w:rsidR="00C9094D">
        <w:rPr>
          <w:rFonts w:cs="David" w:hint="cs"/>
          <w:sz w:val="24"/>
          <w:szCs w:val="24"/>
          <w:rtl/>
        </w:rPr>
        <w:t xml:space="preserve"> </w:t>
      </w:r>
      <w:r w:rsidR="000C6162">
        <w:rPr>
          <w:rFonts w:cs="David" w:hint="cs"/>
          <w:sz w:val="24"/>
          <w:szCs w:val="24"/>
          <w:rtl/>
        </w:rPr>
        <w:t xml:space="preserve">על ידו </w:t>
      </w:r>
      <w:r w:rsidR="00C9094D">
        <w:rPr>
          <w:rFonts w:cs="David" w:hint="cs"/>
          <w:sz w:val="24"/>
          <w:szCs w:val="24"/>
          <w:rtl/>
        </w:rPr>
        <w:t>ויעדכן את הממונה</w:t>
      </w:r>
      <w:r w:rsidR="00971BF1">
        <w:rPr>
          <w:rFonts w:cs="David" w:hint="cs"/>
          <w:sz w:val="24"/>
          <w:szCs w:val="24"/>
          <w:rtl/>
        </w:rPr>
        <w:t xml:space="preserve"> </w:t>
      </w:r>
      <w:r w:rsidR="0039342F">
        <w:rPr>
          <w:rFonts w:cs="David" w:hint="cs"/>
          <w:sz w:val="24"/>
          <w:szCs w:val="24"/>
          <w:rtl/>
        </w:rPr>
        <w:t xml:space="preserve">על שיתוף בנתוני אשראי  (להלן- </w:t>
      </w:r>
      <w:r w:rsidR="0039342F" w:rsidRPr="00E249AD">
        <w:rPr>
          <w:rFonts w:cs="David" w:hint="cs"/>
          <w:b/>
          <w:bCs/>
          <w:sz w:val="24"/>
          <w:szCs w:val="24"/>
          <w:rtl/>
        </w:rPr>
        <w:t>הממונה</w:t>
      </w:r>
      <w:r w:rsidR="0039342F">
        <w:rPr>
          <w:rFonts w:cs="David" w:hint="cs"/>
          <w:sz w:val="24"/>
          <w:szCs w:val="24"/>
          <w:rtl/>
        </w:rPr>
        <w:t xml:space="preserve">) </w:t>
      </w:r>
      <w:r w:rsidR="00C9094D">
        <w:rPr>
          <w:rFonts w:cs="David" w:hint="cs"/>
          <w:sz w:val="24"/>
          <w:szCs w:val="24"/>
          <w:rtl/>
        </w:rPr>
        <w:t>ב</w:t>
      </w:r>
      <w:r w:rsidR="00683742">
        <w:rPr>
          <w:rFonts w:cs="David" w:hint="cs"/>
          <w:sz w:val="24"/>
          <w:szCs w:val="24"/>
          <w:rtl/>
        </w:rPr>
        <w:t xml:space="preserve">כל </w:t>
      </w:r>
      <w:r w:rsidR="00C9094D">
        <w:rPr>
          <w:rFonts w:cs="David" w:hint="cs"/>
          <w:sz w:val="24"/>
          <w:szCs w:val="24"/>
          <w:rtl/>
        </w:rPr>
        <w:t xml:space="preserve">מקרה </w:t>
      </w:r>
      <w:r w:rsidR="00683742">
        <w:rPr>
          <w:rFonts w:cs="David" w:hint="cs"/>
          <w:sz w:val="24"/>
          <w:szCs w:val="24"/>
          <w:rtl/>
        </w:rPr>
        <w:t>בו חדל למלא את תפקידו, במינויו של מחליף ופרטיו</w:t>
      </w:r>
      <w:r>
        <w:rPr>
          <w:rFonts w:cs="David" w:hint="cs"/>
          <w:sz w:val="24"/>
          <w:szCs w:val="24"/>
          <w:rtl/>
        </w:rPr>
        <w:t>.</w:t>
      </w:r>
    </w:p>
    <w:p w:rsidR="003F27B4" w:rsidRDefault="003F27B4" w:rsidP="00971BF1">
      <w:pPr>
        <w:pStyle w:val="2"/>
        <w:spacing w:line="360" w:lineRule="auto"/>
        <w:jc w:val="both"/>
        <w:rPr>
          <w:rFonts w:cs="David"/>
          <w:b w:val="0"/>
          <w:bCs/>
          <w:sz w:val="24"/>
          <w:szCs w:val="24"/>
          <w:rtl/>
        </w:rPr>
      </w:pPr>
    </w:p>
    <w:p w:rsidR="00C9094D" w:rsidRPr="00971BF1" w:rsidRDefault="00C9094D" w:rsidP="00971BF1">
      <w:pPr>
        <w:pStyle w:val="2"/>
        <w:spacing w:line="360" w:lineRule="auto"/>
        <w:jc w:val="both"/>
        <w:rPr>
          <w:rFonts w:cs="David"/>
          <w:bCs/>
          <w:sz w:val="24"/>
          <w:szCs w:val="24"/>
        </w:rPr>
      </w:pPr>
      <w:r w:rsidRPr="00971BF1">
        <w:rPr>
          <w:rFonts w:cs="David" w:hint="cs"/>
          <w:b w:val="0"/>
          <w:bCs/>
          <w:sz w:val="24"/>
          <w:szCs w:val="24"/>
          <w:rtl/>
        </w:rPr>
        <w:t>ביקורת</w:t>
      </w:r>
      <w:r w:rsidR="00053399">
        <w:rPr>
          <w:rFonts w:cs="David" w:hint="cs"/>
          <w:b w:val="0"/>
          <w:bCs/>
          <w:sz w:val="24"/>
          <w:szCs w:val="24"/>
          <w:rtl/>
        </w:rPr>
        <w:t xml:space="preserve"> פנימית</w:t>
      </w:r>
    </w:p>
    <w:p w:rsidR="00D66729" w:rsidRDefault="00053399" w:rsidP="00E249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הביקורת הפנימית </w:t>
      </w:r>
      <w:r w:rsidR="00065C7B">
        <w:rPr>
          <w:rFonts w:cs="David" w:hint="cs"/>
          <w:sz w:val="24"/>
          <w:szCs w:val="24"/>
          <w:rtl/>
        </w:rPr>
        <w:t xml:space="preserve">של מקור המידע </w:t>
      </w:r>
      <w:r w:rsidR="00E43DA4">
        <w:rPr>
          <w:rFonts w:cs="David" w:hint="cs"/>
          <w:sz w:val="24"/>
          <w:szCs w:val="24"/>
          <w:rtl/>
        </w:rPr>
        <w:t xml:space="preserve">תבצע </w:t>
      </w:r>
      <w:r>
        <w:rPr>
          <w:rFonts w:cs="David" w:hint="cs"/>
          <w:sz w:val="24"/>
          <w:szCs w:val="24"/>
          <w:rtl/>
        </w:rPr>
        <w:t>ביקורות</w:t>
      </w:r>
      <w:r w:rsidR="005A642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לבחינת עמידת מקור המידע </w:t>
      </w:r>
      <w:r w:rsidR="00D66729">
        <w:rPr>
          <w:rFonts w:cs="David" w:hint="cs"/>
          <w:sz w:val="24"/>
          <w:szCs w:val="24"/>
          <w:rtl/>
        </w:rPr>
        <w:t>ב</w:t>
      </w:r>
      <w:r w:rsidR="003F27B4">
        <w:rPr>
          <w:rFonts w:cs="David" w:hint="cs"/>
          <w:sz w:val="24"/>
          <w:szCs w:val="24"/>
          <w:rtl/>
        </w:rPr>
        <w:t>כללים</w:t>
      </w:r>
      <w:r w:rsidR="00683742">
        <w:rPr>
          <w:rFonts w:cs="David" w:hint="cs"/>
          <w:sz w:val="24"/>
          <w:szCs w:val="24"/>
          <w:rtl/>
        </w:rPr>
        <w:t xml:space="preserve">, בתדירות אשר תיקבע בהנחיות הממונה </w:t>
      </w:r>
      <w:r w:rsidR="00065C7B">
        <w:rPr>
          <w:rFonts w:cs="David" w:hint="cs"/>
          <w:sz w:val="24"/>
          <w:szCs w:val="24"/>
          <w:rtl/>
        </w:rPr>
        <w:t xml:space="preserve">למקור המידע </w:t>
      </w:r>
      <w:r w:rsidR="00683742">
        <w:rPr>
          <w:rFonts w:cs="David" w:hint="cs"/>
          <w:sz w:val="24"/>
          <w:szCs w:val="24"/>
          <w:rtl/>
        </w:rPr>
        <w:t xml:space="preserve">ולא פחות מאחת </w:t>
      </w:r>
      <w:r w:rsidR="005A6424">
        <w:rPr>
          <w:rFonts w:cs="David" w:hint="cs"/>
          <w:sz w:val="24"/>
          <w:szCs w:val="24"/>
          <w:rtl/>
        </w:rPr>
        <w:t>לשנה</w:t>
      </w:r>
      <w:r w:rsidR="003F27B4">
        <w:rPr>
          <w:rFonts w:cs="David" w:hint="cs"/>
          <w:sz w:val="24"/>
          <w:szCs w:val="24"/>
          <w:rtl/>
        </w:rPr>
        <w:t>.</w:t>
      </w:r>
    </w:p>
    <w:p w:rsidR="004D2C5F" w:rsidRDefault="00C91010" w:rsidP="005A64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דוח</w:t>
      </w:r>
      <w:r w:rsidR="00E3078A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הביקורת יועבר</w:t>
      </w:r>
      <w:r w:rsidR="00E3078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 ל</w:t>
      </w:r>
      <w:r w:rsidRPr="007B4990">
        <w:rPr>
          <w:rFonts w:cs="David" w:hint="cs"/>
          <w:sz w:val="24"/>
          <w:szCs w:val="24"/>
          <w:rtl/>
        </w:rPr>
        <w:t>ממונה</w:t>
      </w:r>
      <w:r w:rsidR="004D2C5F" w:rsidRPr="007B4990">
        <w:rPr>
          <w:rFonts w:cs="David" w:hint="cs"/>
          <w:sz w:val="24"/>
          <w:szCs w:val="24"/>
          <w:rtl/>
        </w:rPr>
        <w:t>.</w:t>
      </w:r>
    </w:p>
    <w:p w:rsidR="00DB01FE" w:rsidRPr="007B4990" w:rsidRDefault="00DB01FE" w:rsidP="00971B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jc w:val="both"/>
        <w:rPr>
          <w:rFonts w:cs="David"/>
          <w:color w:val="FF0000"/>
          <w:sz w:val="24"/>
          <w:szCs w:val="24"/>
        </w:rPr>
      </w:pPr>
    </w:p>
    <w:sectPr w:rsidR="00DB01FE" w:rsidRPr="007B4990" w:rsidSect="00E249AD">
      <w:headerReference w:type="default" r:id="rId9"/>
      <w:headerReference w:type="first" r:id="rId10"/>
      <w:pgSz w:w="11906" w:h="16838"/>
      <w:pgMar w:top="1440" w:right="1800" w:bottom="1440" w:left="1800" w:header="794" w:footer="283" w:gutter="0"/>
      <w:pgNumType w:start="1"/>
      <w:cols w:space="720" w:equalWidth="0">
        <w:col w:w="9360"/>
      </w:cols>
      <w:bidi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A5A7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8C" w:rsidRDefault="0004238C">
      <w:pPr>
        <w:spacing w:after="0" w:line="240" w:lineRule="auto"/>
      </w:pPr>
      <w:r>
        <w:separator/>
      </w:r>
    </w:p>
  </w:endnote>
  <w:endnote w:type="continuationSeparator" w:id="0">
    <w:p w:rsidR="0004238C" w:rsidRDefault="0004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altName w:val="Malgun Gothic Semilight"/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8C" w:rsidRDefault="0004238C">
      <w:pPr>
        <w:spacing w:after="0" w:line="240" w:lineRule="auto"/>
      </w:pPr>
      <w:r>
        <w:separator/>
      </w:r>
    </w:p>
  </w:footnote>
  <w:footnote w:type="continuationSeparator" w:id="0">
    <w:p w:rsidR="0004238C" w:rsidRDefault="0004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bidiVisual/>
      <w:tblW w:w="105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הוראה למקורות המידע - איסוף המידע רישומו ודיווחו למערכת נתוני אשראי"/>
      <w:tblDescription w:val="הוראה למקורות המידע - איסוף המידע רישומו ודיווחו למערכת נתוני אשראי"/>
    </w:tblPr>
    <w:tblGrid>
      <w:gridCol w:w="3063"/>
      <w:gridCol w:w="6095"/>
      <w:gridCol w:w="1377"/>
    </w:tblGrid>
    <w:tr w:rsidR="0061089C" w:rsidRPr="00BD567D" w:rsidTr="00E249AD">
      <w:trPr>
        <w:trHeight w:val="45"/>
        <w:tblHeader/>
        <w:jc w:val="center"/>
      </w:trPr>
      <w:tc>
        <w:tcPr>
          <w:tcW w:w="3063" w:type="dxa"/>
        </w:tcPr>
        <w:p w:rsidR="0061089C" w:rsidRPr="00BD567D" w:rsidRDefault="0061089C" w:rsidP="0061089C">
          <w:pPr>
            <w:pStyle w:val="a9"/>
            <w:jc w:val="right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26E2A8F1" wp14:editId="6077DAD3">
                <wp:extent cx="1649286" cy="493616"/>
                <wp:effectExtent l="0" t="0" r="8255" b="1905"/>
                <wp:docPr id="4" name="תמונה 4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61089C" w:rsidRPr="0061089C" w:rsidRDefault="0061089C" w:rsidP="0061089C">
          <w:pPr>
            <w:pStyle w:val="a9"/>
            <w:spacing w:before="120"/>
            <w:jc w:val="right"/>
            <w:rPr>
              <w:rFonts w:eastAsia="Times New Roman" w:cs="David"/>
              <w:b/>
              <w:bCs/>
              <w:color w:val="7F7F7F" w:themeColor="text1" w:themeTint="80"/>
              <w:sz w:val="24"/>
              <w:szCs w:val="20"/>
              <w:lang w:bidi="he"/>
            </w:rPr>
          </w:pPr>
          <w:r w:rsidRPr="002A4421">
            <w:rPr>
              <w:rFonts w:cs="David"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rFonts w:cs="David"/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cs="David"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rFonts w:cs="David"/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cs="David"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rFonts w:cs="David"/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cs="David"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rFonts w:cs="David"/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cs="David"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rFonts w:cs="David"/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cs="David"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rFonts w:cs="David"/>
              <w:color w:val="7F7F7F" w:themeColor="text1" w:themeTint="80"/>
              <w:sz w:val="24"/>
              <w:rtl/>
            </w:rPr>
            <w:t xml:space="preserve"> </w:t>
          </w:r>
          <w:r w:rsidRPr="002A4421">
            <w:rPr>
              <w:rFonts w:cs="David" w:hint="eastAsia"/>
              <w:color w:val="7F7F7F" w:themeColor="text1" w:themeTint="80"/>
              <w:sz w:val="24"/>
              <w:rtl/>
            </w:rPr>
            <w:t>למקורות</w:t>
          </w:r>
          <w:r w:rsidRPr="002A4421">
            <w:rPr>
              <w:rFonts w:cs="David"/>
              <w:color w:val="7F7F7F" w:themeColor="text1" w:themeTint="80"/>
              <w:sz w:val="24"/>
              <w:rtl/>
            </w:rPr>
            <w:t xml:space="preserve"> </w:t>
          </w:r>
          <w:r w:rsidRPr="002A4421">
            <w:rPr>
              <w:rFonts w:cs="David" w:hint="eastAsia"/>
              <w:color w:val="7F7F7F" w:themeColor="text1" w:themeTint="80"/>
              <w:sz w:val="24"/>
              <w:rtl/>
            </w:rPr>
            <w:t>המידע</w:t>
          </w:r>
        </w:p>
        <w:p w:rsidR="0061089C" w:rsidRPr="008339AB" w:rsidRDefault="0061089C" w:rsidP="00260C62">
          <w:pPr>
            <w:pStyle w:val="a9"/>
            <w:spacing w:before="120"/>
            <w:jc w:val="right"/>
            <w:rPr>
              <w:rFonts w:cs="David"/>
              <w:color w:val="7F7F7F" w:themeColor="text1" w:themeTint="80"/>
              <w:sz w:val="28"/>
              <w:szCs w:val="24"/>
              <w:rtl/>
              <w:lang w:bidi="he"/>
            </w:rPr>
          </w:pPr>
          <w:r>
            <w:rPr>
              <w:rFonts w:cs="David" w:hint="cs"/>
              <w:color w:val="7F7F7F" w:themeColor="text1" w:themeTint="80"/>
              <w:sz w:val="28"/>
              <w:szCs w:val="24"/>
              <w:rtl/>
            </w:rPr>
            <w:t>איסוף המידע רישומו ודיווחו למערכת נתוני אשראי</w:t>
          </w:r>
          <w:r w:rsidRPr="008339AB">
            <w:rPr>
              <w:rFonts w:cs="David"/>
              <w:color w:val="7F7F7F" w:themeColor="text1" w:themeTint="80"/>
              <w:sz w:val="28"/>
              <w:szCs w:val="24"/>
              <w:rtl/>
            </w:rPr>
            <w:t xml:space="preserve"> </w:t>
          </w:r>
          <w:r w:rsidRPr="008339AB">
            <w:rPr>
              <w:rFonts w:ascii="David" w:eastAsia="Times New Roman" w:hAnsi="David" w:cs="David"/>
              <w:color w:val="7F7F7F" w:themeColor="text1" w:themeTint="80"/>
              <w:sz w:val="24"/>
              <w:szCs w:val="20"/>
              <w:rtl/>
              <w:lang w:bidi="he"/>
            </w:rPr>
            <w:t>[</w:t>
          </w:r>
          <w:r>
            <w:rPr>
              <w:rFonts w:ascii="David" w:eastAsia="Times New Roman" w:hAnsi="David" w:cs="David" w:hint="cs"/>
              <w:color w:val="7F7F7F" w:themeColor="text1" w:themeTint="80"/>
              <w:sz w:val="24"/>
              <w:szCs w:val="20"/>
              <w:rtl/>
              <w:lang w:bidi="he"/>
            </w:rPr>
            <w:t>1</w:t>
          </w:r>
          <w:r w:rsidRPr="008339AB">
            <w:rPr>
              <w:rFonts w:ascii="David" w:eastAsia="Times New Roman" w:hAnsi="David" w:cs="David"/>
              <w:color w:val="7F7F7F" w:themeColor="text1" w:themeTint="80"/>
              <w:sz w:val="24"/>
              <w:szCs w:val="20"/>
              <w:rtl/>
              <w:lang w:bidi="he"/>
            </w:rPr>
            <w:t>] (</w:t>
          </w:r>
          <w:r w:rsidR="00260C62">
            <w:rPr>
              <w:rFonts w:ascii="David" w:eastAsia="Times New Roman" w:hAnsi="David" w:cs="David" w:hint="cs"/>
              <w:color w:val="7F7F7F" w:themeColor="text1" w:themeTint="80"/>
              <w:sz w:val="24"/>
              <w:szCs w:val="20"/>
              <w:rtl/>
              <w:lang w:bidi="he"/>
            </w:rPr>
            <w:t>0</w:t>
          </w:r>
          <w:r w:rsidR="00260C62">
            <w:rPr>
              <w:rFonts w:ascii="David" w:eastAsia="Times New Roman" w:hAnsi="David" w:cs="David" w:hint="cs"/>
              <w:color w:val="7F7F7F" w:themeColor="text1" w:themeTint="80"/>
              <w:sz w:val="24"/>
              <w:szCs w:val="20"/>
              <w:rtl/>
              <w:lang w:bidi="he"/>
            </w:rPr>
            <w:t>3</w:t>
          </w:r>
          <w:r w:rsidRPr="008339AB">
            <w:rPr>
              <w:rFonts w:ascii="David" w:eastAsia="Times New Roman" w:hAnsi="David" w:cs="David"/>
              <w:color w:val="7F7F7F" w:themeColor="text1" w:themeTint="80"/>
              <w:sz w:val="24"/>
              <w:szCs w:val="20"/>
              <w:rtl/>
              <w:lang w:bidi="he"/>
            </w:rPr>
            <w:t>/</w:t>
          </w:r>
          <w:r>
            <w:rPr>
              <w:rFonts w:ascii="David" w:eastAsia="Times New Roman" w:hAnsi="David" w:cs="David" w:hint="cs"/>
              <w:color w:val="7F7F7F" w:themeColor="text1" w:themeTint="80"/>
              <w:sz w:val="24"/>
              <w:szCs w:val="20"/>
              <w:rtl/>
              <w:lang w:bidi="he"/>
            </w:rPr>
            <w:t>19</w:t>
          </w:r>
          <w:r w:rsidRPr="008339AB">
            <w:rPr>
              <w:rFonts w:cs="David"/>
              <w:color w:val="7F7F7F" w:themeColor="text1" w:themeTint="80"/>
              <w:sz w:val="28"/>
              <w:szCs w:val="24"/>
              <w:rtl/>
              <w:lang w:bidi="he"/>
            </w:rPr>
            <w:t>)</w:t>
          </w:r>
        </w:p>
      </w:tc>
      <w:tc>
        <w:tcPr>
          <w:tcW w:w="1377" w:type="dxa"/>
        </w:tcPr>
        <w:p w:rsidR="0061089C" w:rsidRDefault="0061089C" w:rsidP="00B84E35">
          <w:pPr>
            <w:pStyle w:val="a9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7112B01C" wp14:editId="74FB0BBE">
                <wp:extent cx="556260" cy="556260"/>
                <wp:effectExtent l="0" t="0" r="0" b="0"/>
                <wp:docPr id="5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65C7B" w:rsidRPr="00BD567D" w:rsidRDefault="0061089C" w:rsidP="00440157">
          <w:pPr>
            <w:pStyle w:val="a9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 w:rsidRPr="00B35638">
            <w:rPr>
              <w:rFonts w:cs="David" w:hint="cs"/>
              <w:color w:val="7F7F7F" w:themeColor="text1" w:themeTint="80"/>
              <w:sz w:val="26"/>
              <w:szCs w:val="26"/>
              <w:rtl/>
            </w:rPr>
            <w:t>5</w:t>
          </w:r>
          <w:r w:rsidRPr="00B35638">
            <w:rPr>
              <w:rFonts w:cs="David"/>
              <w:color w:val="7F7F7F" w:themeColor="text1" w:themeTint="80"/>
              <w:sz w:val="26"/>
              <w:szCs w:val="26"/>
              <w:rtl/>
            </w:rPr>
            <w:t xml:space="preserve">01 </w:t>
          </w:r>
        </w:p>
      </w:tc>
    </w:tr>
  </w:tbl>
  <w:p w:rsidR="00E65209" w:rsidRPr="00E249AD" w:rsidRDefault="00E652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360" w:lineRule="auto"/>
      <w:rPr>
        <w:rFonts w:cstheme="minorBid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9" w:rsidRDefault="00E652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9039" w:type="dxa"/>
      <w:tblLayout w:type="fixed"/>
      <w:tblLook w:val="0000" w:firstRow="0" w:lastRow="0" w:firstColumn="0" w:lastColumn="0" w:noHBand="0" w:noVBand="0"/>
    </w:tblPr>
    <w:tblGrid>
      <w:gridCol w:w="3528"/>
      <w:gridCol w:w="1980"/>
      <w:gridCol w:w="3531"/>
    </w:tblGrid>
    <w:tr w:rsidR="00E65209">
      <w:trPr>
        <w:trHeight w:val="1120"/>
      </w:trPr>
      <w:tc>
        <w:tcPr>
          <w:tcW w:w="3528" w:type="dxa"/>
        </w:tcPr>
        <w:p w:rsidR="00E65209" w:rsidRDefault="00E65209">
          <w:pPr>
            <w:ind w:right="-108"/>
          </w:pPr>
        </w:p>
      </w:tc>
      <w:tc>
        <w:tcPr>
          <w:tcW w:w="1980" w:type="dxa"/>
        </w:tcPr>
        <w:p w:rsidR="00E65209" w:rsidRDefault="00E65209">
          <w:pPr>
            <w:jc w:val="center"/>
          </w:pPr>
          <w:r>
            <w:rPr>
              <w:noProof/>
              <w:color w:val="1F497D"/>
            </w:rPr>
            <w:drawing>
              <wp:inline distT="0" distB="0" distL="0" distR="0" wp14:anchorId="5DFE75AD" wp14:editId="05F55F38">
                <wp:extent cx="670006" cy="652291"/>
                <wp:effectExtent l="0" t="0" r="0" b="0"/>
                <wp:docPr id="6" name="image1.jpg" descr="cid:image001.jpg@01D11A41.034F73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id:image001.jpg@01D11A41.034F737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006" cy="6522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1" w:type="dxa"/>
        </w:tcPr>
        <w:p w:rsidR="00E65209" w:rsidRDefault="00E65209">
          <w:pPr>
            <w:rPr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  <w:rtl/>
            </w:rPr>
            <w:t>בנק ישראל</w:t>
          </w:r>
        </w:p>
        <w:p w:rsidR="00E65209" w:rsidRDefault="00E65209">
          <w:pPr>
            <w:rPr>
              <w:sz w:val="28"/>
              <w:szCs w:val="28"/>
            </w:rPr>
          </w:pPr>
          <w:r>
            <w:rPr>
              <w:rFonts w:cs="Times New Roman"/>
              <w:sz w:val="24"/>
              <w:szCs w:val="24"/>
              <w:rtl/>
            </w:rPr>
            <w:t>מאגר נתוני אשראי</w:t>
          </w:r>
        </w:p>
      </w:tc>
    </w:tr>
  </w:tbl>
  <w:p w:rsidR="00E65209" w:rsidRDefault="00E652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0B5"/>
    <w:multiLevelType w:val="multilevel"/>
    <w:tmpl w:val="08D2E1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C5325B"/>
    <w:multiLevelType w:val="multilevel"/>
    <w:tmpl w:val="0EDA0A7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1F1C71"/>
    <w:multiLevelType w:val="hybridMultilevel"/>
    <w:tmpl w:val="A6A4754C"/>
    <w:lvl w:ilvl="0" w:tplc="5BBCBA82">
      <w:start w:val="1"/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5E9626A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42F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706EA5"/>
    <w:multiLevelType w:val="multilevel"/>
    <w:tmpl w:val="BDAC03D0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  <w:lang w:bidi="he-IL"/>
      </w:r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8D55B5"/>
    <w:multiLevelType w:val="hybridMultilevel"/>
    <w:tmpl w:val="7E368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B1E56"/>
    <w:multiLevelType w:val="hybridMultilevel"/>
    <w:tmpl w:val="14EC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93C5E"/>
    <w:multiLevelType w:val="multilevel"/>
    <w:tmpl w:val="CB04D1F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AA62B0"/>
    <w:multiLevelType w:val="multilevel"/>
    <w:tmpl w:val="9662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שירלי אבנר">
    <w15:presenceInfo w15:providerId="AD" w15:userId="S-1-5-21-2000478354-1614895754-839522115-13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NzI1MDA0MjQ3NzdR0lEKTi0uzszPAykwqgUAjrYCAiwAAAA="/>
  </w:docVars>
  <w:rsids>
    <w:rsidRoot w:val="00DB01FE"/>
    <w:rsid w:val="0000105C"/>
    <w:rsid w:val="000275BC"/>
    <w:rsid w:val="00030791"/>
    <w:rsid w:val="0004238C"/>
    <w:rsid w:val="00053399"/>
    <w:rsid w:val="00065C7B"/>
    <w:rsid w:val="000A3C13"/>
    <w:rsid w:val="000C29AE"/>
    <w:rsid w:val="000C6162"/>
    <w:rsid w:val="000E582A"/>
    <w:rsid w:val="000F137E"/>
    <w:rsid w:val="000F18AA"/>
    <w:rsid w:val="000F3B71"/>
    <w:rsid w:val="001067C1"/>
    <w:rsid w:val="001615A3"/>
    <w:rsid w:val="001A1859"/>
    <w:rsid w:val="001A76F1"/>
    <w:rsid w:val="0021598E"/>
    <w:rsid w:val="00240C05"/>
    <w:rsid w:val="00246DCD"/>
    <w:rsid w:val="00250A2A"/>
    <w:rsid w:val="00260C62"/>
    <w:rsid w:val="00272D05"/>
    <w:rsid w:val="002809BC"/>
    <w:rsid w:val="002B0B69"/>
    <w:rsid w:val="002B4059"/>
    <w:rsid w:val="002D3EAC"/>
    <w:rsid w:val="00300172"/>
    <w:rsid w:val="00301DCB"/>
    <w:rsid w:val="00315C7D"/>
    <w:rsid w:val="00315E8C"/>
    <w:rsid w:val="00320043"/>
    <w:rsid w:val="00335A3E"/>
    <w:rsid w:val="00357C26"/>
    <w:rsid w:val="0039342F"/>
    <w:rsid w:val="003B5C4E"/>
    <w:rsid w:val="003F27B4"/>
    <w:rsid w:val="003F53A0"/>
    <w:rsid w:val="00440157"/>
    <w:rsid w:val="00443CF0"/>
    <w:rsid w:val="0044464C"/>
    <w:rsid w:val="004465F2"/>
    <w:rsid w:val="004617C9"/>
    <w:rsid w:val="0046290A"/>
    <w:rsid w:val="004814EC"/>
    <w:rsid w:val="004D2C5F"/>
    <w:rsid w:val="004D4465"/>
    <w:rsid w:val="004D48D4"/>
    <w:rsid w:val="004F7BD6"/>
    <w:rsid w:val="00502E16"/>
    <w:rsid w:val="00536E8E"/>
    <w:rsid w:val="00541B2A"/>
    <w:rsid w:val="00552DE2"/>
    <w:rsid w:val="00567D46"/>
    <w:rsid w:val="00571583"/>
    <w:rsid w:val="00571B20"/>
    <w:rsid w:val="005A6424"/>
    <w:rsid w:val="005D68D7"/>
    <w:rsid w:val="005E2409"/>
    <w:rsid w:val="00603A0F"/>
    <w:rsid w:val="00604B9E"/>
    <w:rsid w:val="0061089C"/>
    <w:rsid w:val="00623DC0"/>
    <w:rsid w:val="00664007"/>
    <w:rsid w:val="00664849"/>
    <w:rsid w:val="00683742"/>
    <w:rsid w:val="006B3B48"/>
    <w:rsid w:val="00740170"/>
    <w:rsid w:val="00743BB0"/>
    <w:rsid w:val="0076529C"/>
    <w:rsid w:val="007A79D8"/>
    <w:rsid w:val="007B1EB2"/>
    <w:rsid w:val="007B4990"/>
    <w:rsid w:val="007C28E2"/>
    <w:rsid w:val="00822E3C"/>
    <w:rsid w:val="008947E7"/>
    <w:rsid w:val="008D74FC"/>
    <w:rsid w:val="00904D5A"/>
    <w:rsid w:val="00905C65"/>
    <w:rsid w:val="00931C56"/>
    <w:rsid w:val="00933232"/>
    <w:rsid w:val="0094052A"/>
    <w:rsid w:val="00953CBA"/>
    <w:rsid w:val="00971BF1"/>
    <w:rsid w:val="00976D96"/>
    <w:rsid w:val="009838AB"/>
    <w:rsid w:val="009861B8"/>
    <w:rsid w:val="009B7621"/>
    <w:rsid w:val="009D3830"/>
    <w:rsid w:val="009D56DE"/>
    <w:rsid w:val="009E015C"/>
    <w:rsid w:val="00A37AF1"/>
    <w:rsid w:val="00A43E08"/>
    <w:rsid w:val="00A54EF3"/>
    <w:rsid w:val="00A57857"/>
    <w:rsid w:val="00A67472"/>
    <w:rsid w:val="00B06CCF"/>
    <w:rsid w:val="00B16B39"/>
    <w:rsid w:val="00B35638"/>
    <w:rsid w:val="00B416DA"/>
    <w:rsid w:val="00B772F4"/>
    <w:rsid w:val="00B96A48"/>
    <w:rsid w:val="00BB68AC"/>
    <w:rsid w:val="00BC36B8"/>
    <w:rsid w:val="00BE05D5"/>
    <w:rsid w:val="00BE3135"/>
    <w:rsid w:val="00BE3A6F"/>
    <w:rsid w:val="00C07F9D"/>
    <w:rsid w:val="00C13602"/>
    <w:rsid w:val="00C76503"/>
    <w:rsid w:val="00C8344B"/>
    <w:rsid w:val="00C85F01"/>
    <w:rsid w:val="00C9094D"/>
    <w:rsid w:val="00C91010"/>
    <w:rsid w:val="00C941F5"/>
    <w:rsid w:val="00CB35CC"/>
    <w:rsid w:val="00CE249F"/>
    <w:rsid w:val="00D20D20"/>
    <w:rsid w:val="00D226B5"/>
    <w:rsid w:val="00D353B2"/>
    <w:rsid w:val="00D4240F"/>
    <w:rsid w:val="00D66729"/>
    <w:rsid w:val="00D76E50"/>
    <w:rsid w:val="00D80D9F"/>
    <w:rsid w:val="00D8136D"/>
    <w:rsid w:val="00DA7E54"/>
    <w:rsid w:val="00DB01FE"/>
    <w:rsid w:val="00DD5DDE"/>
    <w:rsid w:val="00DE43AE"/>
    <w:rsid w:val="00E02D5E"/>
    <w:rsid w:val="00E146BF"/>
    <w:rsid w:val="00E249AD"/>
    <w:rsid w:val="00E3078A"/>
    <w:rsid w:val="00E43DA4"/>
    <w:rsid w:val="00E65209"/>
    <w:rsid w:val="00E735DD"/>
    <w:rsid w:val="00EB6DF9"/>
    <w:rsid w:val="00EE4E8E"/>
    <w:rsid w:val="00EF3340"/>
    <w:rsid w:val="00EF5A9D"/>
    <w:rsid w:val="00F55E4B"/>
    <w:rsid w:val="00F6153A"/>
    <w:rsid w:val="00F817D0"/>
    <w:rsid w:val="00FB0317"/>
    <w:rsid w:val="00FB349F"/>
    <w:rsid w:val="00FB7FC2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357C26"/>
    <w:pPr>
      <w:jc w:val="center"/>
      <w:outlineLvl w:val="0"/>
    </w:pPr>
    <w:rPr>
      <w:rFonts w:asciiTheme="minorHAnsi" w:eastAsiaTheme="minorHAnsi" w:hAnsiTheme="minorHAnsi" w:cs="David"/>
      <w:color w:val="000000" w:themeColor="text1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link w:val="a8"/>
    <w:uiPriority w:val="34"/>
    <w:qFormat/>
    <w:rsid w:val="00C941F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E735DD"/>
  </w:style>
  <w:style w:type="paragraph" w:styleId="ab">
    <w:name w:val="footer"/>
    <w:basedOn w:val="a"/>
    <w:link w:val="ac"/>
    <w:uiPriority w:val="99"/>
    <w:unhideWhenUsed/>
    <w:rsid w:val="00E7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735DD"/>
  </w:style>
  <w:style w:type="paragraph" w:styleId="NormalWeb">
    <w:name w:val="Normal (Web)"/>
    <w:basedOn w:val="a"/>
    <w:uiPriority w:val="99"/>
    <w:semiHidden/>
    <w:unhideWhenUsed/>
    <w:rsid w:val="009332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B49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990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B49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99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B499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B4990"/>
    <w:pPr>
      <w:bidi w:val="0"/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7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0"/>
    <w:link w:val="af3"/>
    <w:uiPriority w:val="99"/>
    <w:semiHidden/>
    <w:rsid w:val="007B4990"/>
    <w:rPr>
      <w:rFonts w:ascii="Tahoma" w:hAnsi="Tahoma" w:cs="Tahoma"/>
      <w:sz w:val="16"/>
      <w:szCs w:val="16"/>
    </w:rPr>
  </w:style>
  <w:style w:type="character" w:customStyle="1" w:styleId="a8">
    <w:name w:val="פיסקת רשימה תו"/>
    <w:link w:val="a7"/>
    <w:uiPriority w:val="34"/>
    <w:locked/>
    <w:rsid w:val="007B1EB2"/>
  </w:style>
  <w:style w:type="table" w:styleId="af5">
    <w:name w:val="Table Grid"/>
    <w:aliases w:val="טקסט טבלה תחתונה"/>
    <w:basedOn w:val="a1"/>
    <w:rsid w:val="0061089C"/>
    <w:pPr>
      <w:bidi w:val="0"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357C26"/>
    <w:pPr>
      <w:jc w:val="center"/>
      <w:outlineLvl w:val="0"/>
    </w:pPr>
    <w:rPr>
      <w:rFonts w:asciiTheme="minorHAnsi" w:eastAsiaTheme="minorHAnsi" w:hAnsiTheme="minorHAnsi" w:cs="David"/>
      <w:color w:val="000000" w:themeColor="text1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link w:val="a8"/>
    <w:uiPriority w:val="34"/>
    <w:qFormat/>
    <w:rsid w:val="00C941F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E735DD"/>
  </w:style>
  <w:style w:type="paragraph" w:styleId="ab">
    <w:name w:val="footer"/>
    <w:basedOn w:val="a"/>
    <w:link w:val="ac"/>
    <w:uiPriority w:val="99"/>
    <w:unhideWhenUsed/>
    <w:rsid w:val="00E7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735DD"/>
  </w:style>
  <w:style w:type="paragraph" w:styleId="NormalWeb">
    <w:name w:val="Normal (Web)"/>
    <w:basedOn w:val="a"/>
    <w:uiPriority w:val="99"/>
    <w:semiHidden/>
    <w:unhideWhenUsed/>
    <w:rsid w:val="009332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B49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990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B49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99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B499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B4990"/>
    <w:pPr>
      <w:bidi w:val="0"/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7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0"/>
    <w:link w:val="af3"/>
    <w:uiPriority w:val="99"/>
    <w:semiHidden/>
    <w:rsid w:val="007B4990"/>
    <w:rPr>
      <w:rFonts w:ascii="Tahoma" w:hAnsi="Tahoma" w:cs="Tahoma"/>
      <w:sz w:val="16"/>
      <w:szCs w:val="16"/>
    </w:rPr>
  </w:style>
  <w:style w:type="character" w:customStyle="1" w:styleId="a8">
    <w:name w:val="פיסקת רשימה תו"/>
    <w:link w:val="a7"/>
    <w:uiPriority w:val="34"/>
    <w:locked/>
    <w:rsid w:val="007B1EB2"/>
  </w:style>
  <w:style w:type="table" w:styleId="af5">
    <w:name w:val="Table Grid"/>
    <w:aliases w:val="טקסט טבלה תחתונה"/>
    <w:basedOn w:val="a1"/>
    <w:rsid w:val="0061089C"/>
    <w:pPr>
      <w:bidi w:val="0"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9F09-7978-48B3-83AE-0DAC76E8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2019-03-13T11:30:00Z</dcterms:created>
  <dcterms:modified xsi:type="dcterms:W3CDTF">2019-03-13T11:30:00Z</dcterms:modified>
</cp:coreProperties>
</file>