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FC774" w14:textId="77777777" w:rsidR="00963440" w:rsidRPr="003326DE" w:rsidRDefault="00124BBB" w:rsidP="00B539FC">
      <w:pPr>
        <w:jc w:val="center"/>
        <w:rPr>
          <w:color w:val="000000" w:themeColor="text1"/>
          <w:sz w:val="48"/>
          <w:szCs w:val="48"/>
          <w:rtl/>
        </w:rPr>
      </w:pPr>
      <w:r w:rsidRPr="003326DE">
        <w:rPr>
          <w:rFonts w:hint="cs"/>
          <w:color w:val="000000" w:themeColor="text1"/>
          <w:sz w:val="48"/>
          <w:szCs w:val="48"/>
          <w:rtl/>
        </w:rPr>
        <w:t>הפעלת מנגנון ההדדיות</w:t>
      </w:r>
    </w:p>
    <w:p w14:paraId="6493B1B0" w14:textId="77777777" w:rsidR="006E4274" w:rsidRPr="003326DE" w:rsidRDefault="00A71F09" w:rsidP="009575AF">
      <w:pPr>
        <w:pStyle w:val="Heading2"/>
        <w:rPr>
          <w:rFonts w:hint="cs"/>
          <w:rtl/>
        </w:rPr>
      </w:pPr>
      <w:r w:rsidRPr="003326DE">
        <w:rPr>
          <w:rFonts w:hint="cs"/>
          <w:rtl/>
        </w:rPr>
        <w:t>מבוא</w:t>
      </w:r>
      <w:bookmarkStart w:id="0" w:name="_GoBack"/>
      <w:bookmarkEnd w:id="0"/>
    </w:p>
    <w:p w14:paraId="11149338" w14:textId="77777777" w:rsidR="00124BBB" w:rsidRPr="003326DE" w:rsidRDefault="00124BBB" w:rsidP="00F72B26">
      <w:pPr>
        <w:pStyle w:val="ListParagraph"/>
        <w:numPr>
          <w:ilvl w:val="0"/>
          <w:numId w:val="15"/>
        </w:numPr>
        <w:spacing w:line="360" w:lineRule="auto"/>
        <w:rPr>
          <w:sz w:val="24"/>
        </w:rPr>
      </w:pPr>
      <w:r w:rsidRPr="003326DE">
        <w:rPr>
          <w:rFonts w:hint="cs"/>
          <w:sz w:val="24"/>
          <w:rtl/>
        </w:rPr>
        <w:t>סעיף</w:t>
      </w:r>
      <w:r w:rsidR="00184DAB" w:rsidRPr="003326DE">
        <w:rPr>
          <w:rFonts w:hint="cs"/>
          <w:sz w:val="24"/>
          <w:rtl/>
        </w:rPr>
        <w:t xml:space="preserve"> 26(א) </w:t>
      </w:r>
      <w:r w:rsidRPr="003326DE">
        <w:rPr>
          <w:rFonts w:hint="cs"/>
          <w:sz w:val="24"/>
          <w:rtl/>
        </w:rPr>
        <w:t xml:space="preserve">לחוק נתוני אשראי </w:t>
      </w:r>
      <w:proofErr w:type="spellStart"/>
      <w:r w:rsidRPr="003326DE">
        <w:rPr>
          <w:rFonts w:hint="cs"/>
          <w:sz w:val="24"/>
          <w:rtl/>
        </w:rPr>
        <w:t>התשע"ו</w:t>
      </w:r>
      <w:proofErr w:type="spellEnd"/>
      <w:r w:rsidRPr="003326DE">
        <w:rPr>
          <w:rFonts w:hint="cs"/>
          <w:sz w:val="24"/>
          <w:rtl/>
        </w:rPr>
        <w:t>- 2016 (להלן</w:t>
      </w:r>
      <w:r w:rsidRPr="003326DE">
        <w:rPr>
          <w:sz w:val="24"/>
          <w:rtl/>
        </w:rPr>
        <w:t xml:space="preserve"> – </w:t>
      </w:r>
      <w:r w:rsidRPr="003326DE">
        <w:rPr>
          <w:rFonts w:hint="cs"/>
          <w:sz w:val="24"/>
          <w:rtl/>
        </w:rPr>
        <w:t>החוק),  קובע את התנאים להעברת נתוני אשראי מהמאגר ללשכת אשראי ומהלשכה לנותן האשראי, וביניהם</w:t>
      </w:r>
      <w:r w:rsidR="00F72B26" w:rsidRPr="003326DE">
        <w:rPr>
          <w:rFonts w:hint="cs"/>
          <w:sz w:val="24"/>
          <w:rtl/>
        </w:rPr>
        <w:t xml:space="preserve">, בסעיף קטן (2), </w:t>
      </w:r>
      <w:r w:rsidRPr="003326DE">
        <w:rPr>
          <w:rFonts w:hint="cs"/>
          <w:sz w:val="24"/>
          <w:rtl/>
        </w:rPr>
        <w:t xml:space="preserve">כי על נותן האשראי להיות מקור מידע המעביר נתוני אשראי </w:t>
      </w:r>
      <w:r w:rsidR="00184DAB" w:rsidRPr="003326DE">
        <w:rPr>
          <w:rFonts w:hint="cs"/>
          <w:sz w:val="24"/>
          <w:rtl/>
        </w:rPr>
        <w:t xml:space="preserve">לפי פרק ו' </w:t>
      </w:r>
      <w:r w:rsidRPr="003326DE">
        <w:rPr>
          <w:rFonts w:hint="cs"/>
          <w:sz w:val="24"/>
          <w:rtl/>
        </w:rPr>
        <w:t>לגבי לקוחותיו או שנותן האשראי התחייב להעביר נתוני אשראי כאמור</w:t>
      </w:r>
      <w:r w:rsidR="001138C4" w:rsidRPr="003326DE">
        <w:rPr>
          <w:rFonts w:hint="cs"/>
          <w:sz w:val="24"/>
          <w:rtl/>
        </w:rPr>
        <w:t>,</w:t>
      </w:r>
      <w:r w:rsidRPr="003326DE">
        <w:rPr>
          <w:rFonts w:hint="cs"/>
          <w:sz w:val="24"/>
          <w:rtl/>
        </w:rPr>
        <w:t xml:space="preserve"> באופן ובמועד שהורה הממונה</w:t>
      </w:r>
      <w:r w:rsidR="00267C63" w:rsidRPr="003326DE">
        <w:rPr>
          <w:rFonts w:hint="cs"/>
          <w:sz w:val="24"/>
          <w:rtl/>
        </w:rPr>
        <w:t xml:space="preserve"> על שיתוף בנתוני אשראי (להלן </w:t>
      </w:r>
      <w:r w:rsidR="00267C63" w:rsidRPr="003326DE">
        <w:rPr>
          <w:sz w:val="24"/>
          <w:rtl/>
        </w:rPr>
        <w:t>–</w:t>
      </w:r>
      <w:r w:rsidR="00267C63" w:rsidRPr="003326DE">
        <w:rPr>
          <w:rFonts w:hint="cs"/>
          <w:sz w:val="24"/>
          <w:rtl/>
        </w:rPr>
        <w:t xml:space="preserve"> הממונה)</w:t>
      </w:r>
      <w:r w:rsidRPr="003326DE">
        <w:rPr>
          <w:rFonts w:hint="cs"/>
          <w:sz w:val="24"/>
          <w:rtl/>
        </w:rPr>
        <w:t>, ובלבד שהמועד שהורה הממונה להעברת הנתונים לא יעלה על שנה מהמועד שנמסרו לו נתונים מהמאגר.</w:t>
      </w:r>
    </w:p>
    <w:p w14:paraId="5D607C7F" w14:textId="77777777" w:rsidR="006E544F" w:rsidRPr="003326DE" w:rsidRDefault="00184DAB" w:rsidP="000C62A3">
      <w:pPr>
        <w:pStyle w:val="ListParagraph"/>
        <w:spacing w:line="360" w:lineRule="auto"/>
        <w:ind w:left="360"/>
        <w:rPr>
          <w:sz w:val="24"/>
          <w:rtl/>
        </w:rPr>
      </w:pPr>
      <w:r w:rsidRPr="003326DE">
        <w:rPr>
          <w:rFonts w:hint="cs"/>
          <w:sz w:val="24"/>
          <w:rtl/>
        </w:rPr>
        <w:t xml:space="preserve">סעיף זה קובע למעשה </w:t>
      </w:r>
      <w:r w:rsidR="00124BBB" w:rsidRPr="003326DE">
        <w:rPr>
          <w:rFonts w:hint="cs"/>
          <w:sz w:val="24"/>
          <w:rtl/>
        </w:rPr>
        <w:t>את מנגנון ההדדיות.</w:t>
      </w:r>
    </w:p>
    <w:p w14:paraId="42605725" w14:textId="5822C2E3" w:rsidR="00124BBB" w:rsidRPr="003326DE" w:rsidRDefault="00124BBB" w:rsidP="00267C63">
      <w:pPr>
        <w:pStyle w:val="ListParagraph"/>
        <w:numPr>
          <w:ilvl w:val="0"/>
          <w:numId w:val="15"/>
        </w:numPr>
        <w:spacing w:line="360" w:lineRule="auto"/>
        <w:rPr>
          <w:sz w:val="24"/>
        </w:rPr>
      </w:pPr>
      <w:r w:rsidRPr="003326DE">
        <w:rPr>
          <w:rFonts w:hint="cs"/>
          <w:sz w:val="24"/>
          <w:rtl/>
        </w:rPr>
        <w:t xml:space="preserve">מתוקף סמכות </w:t>
      </w:r>
      <w:r w:rsidR="005F495F" w:rsidRPr="003326DE">
        <w:rPr>
          <w:rFonts w:hint="cs"/>
          <w:sz w:val="24"/>
          <w:rtl/>
        </w:rPr>
        <w:t xml:space="preserve">הממונה </w:t>
      </w:r>
      <w:r w:rsidRPr="003326DE">
        <w:rPr>
          <w:rFonts w:hint="cs"/>
          <w:sz w:val="24"/>
          <w:rtl/>
        </w:rPr>
        <w:t xml:space="preserve">לפי סעיף 68 </w:t>
      </w:r>
      <w:r w:rsidR="00DA33DC" w:rsidRPr="003326DE">
        <w:rPr>
          <w:rFonts w:hint="cs"/>
          <w:sz w:val="24"/>
          <w:rtl/>
        </w:rPr>
        <w:t xml:space="preserve">לחוק </w:t>
      </w:r>
      <w:r w:rsidR="005F495F" w:rsidRPr="003326DE">
        <w:rPr>
          <w:rFonts w:hint="cs"/>
          <w:sz w:val="24"/>
          <w:rtl/>
        </w:rPr>
        <w:t>ולאחר התייעצות בוועדה המייעצת</w:t>
      </w:r>
      <w:r w:rsidR="00DA33DC" w:rsidRPr="003326DE">
        <w:rPr>
          <w:sz w:val="24"/>
          <w:rtl/>
        </w:rPr>
        <w:t>,</w:t>
      </w:r>
      <w:r w:rsidR="005F495F" w:rsidRPr="003326DE">
        <w:rPr>
          <w:sz w:val="24"/>
          <w:rtl/>
        </w:rPr>
        <w:t xml:space="preserve"> הוראה זו קובעת הנחיות הנוגעות לחיבור נותן אשראי למערכת נתוני אשראי בהתאם למנגנון ההדדיות.</w:t>
      </w:r>
    </w:p>
    <w:p w14:paraId="04FC0F6B" w14:textId="77777777" w:rsidR="00B46AB4" w:rsidRPr="003326DE" w:rsidRDefault="00B46AB4" w:rsidP="00B54FC4">
      <w:pPr>
        <w:pStyle w:val="ListParagraph"/>
        <w:numPr>
          <w:ilvl w:val="0"/>
          <w:numId w:val="15"/>
        </w:numPr>
        <w:spacing w:line="360" w:lineRule="auto"/>
        <w:rPr>
          <w:sz w:val="24"/>
          <w:rtl/>
        </w:rPr>
      </w:pPr>
      <w:r w:rsidRPr="003326DE">
        <w:rPr>
          <w:rFonts w:hint="cs"/>
          <w:sz w:val="24"/>
          <w:rtl/>
        </w:rPr>
        <w:t xml:space="preserve">הממונה רשאי לפטור </w:t>
      </w:r>
      <w:r w:rsidR="006A40B3" w:rsidRPr="003326DE">
        <w:rPr>
          <w:rFonts w:hint="cs"/>
          <w:sz w:val="24"/>
          <w:rtl/>
        </w:rPr>
        <w:t>נותן אשראי</w:t>
      </w:r>
      <w:r w:rsidRPr="003326DE">
        <w:rPr>
          <w:rFonts w:hint="cs"/>
          <w:sz w:val="24"/>
          <w:rtl/>
        </w:rPr>
        <w:t xml:space="preserve"> מסוים מקיום סעיפים מסוימים בהוראה זו, או לקבוע הוראות מסוימות שונות מאלו המפורטות להלן אשר יחולו על</w:t>
      </w:r>
      <w:r w:rsidR="006A40B3" w:rsidRPr="003326DE">
        <w:rPr>
          <w:rFonts w:hint="cs"/>
          <w:sz w:val="24"/>
          <w:rtl/>
        </w:rPr>
        <w:t>יו</w:t>
      </w:r>
      <w:r w:rsidRPr="003326DE">
        <w:rPr>
          <w:rFonts w:hint="cs"/>
          <w:sz w:val="24"/>
          <w:rtl/>
        </w:rPr>
        <w:t xml:space="preserve"> . זאת, במקרים חריגים לאחר שבחן את בקשתו ונימוקיו אשר נמסרו לו בכתב, ורשאי הממונה לקבוע כי הפטור או ההוראות השונות יחולו לתקופה קצובה כפי שתיקבע על ידו.</w:t>
      </w:r>
    </w:p>
    <w:p w14:paraId="54E841B4" w14:textId="77777777" w:rsidR="00360D90" w:rsidRPr="003326DE" w:rsidRDefault="00124BBB" w:rsidP="009575AF">
      <w:pPr>
        <w:pStyle w:val="Heading2"/>
        <w:rPr>
          <w:rtl/>
        </w:rPr>
      </w:pPr>
      <w:r w:rsidRPr="003326DE">
        <w:rPr>
          <w:rFonts w:hint="cs"/>
          <w:rtl/>
        </w:rPr>
        <w:t xml:space="preserve"> </w:t>
      </w:r>
      <w:r w:rsidR="00360D90" w:rsidRPr="003326DE">
        <w:rPr>
          <w:rFonts w:hint="cs"/>
          <w:rtl/>
        </w:rPr>
        <w:t>תחולה</w:t>
      </w:r>
    </w:p>
    <w:p w14:paraId="6D2D7B51" w14:textId="77777777" w:rsidR="00963440" w:rsidRPr="003326DE" w:rsidRDefault="005F495F" w:rsidP="00F72B26">
      <w:pPr>
        <w:pStyle w:val="ListParagraph"/>
        <w:numPr>
          <w:ilvl w:val="0"/>
          <w:numId w:val="15"/>
        </w:numPr>
        <w:spacing w:line="360" w:lineRule="auto"/>
        <w:rPr>
          <w:sz w:val="24"/>
        </w:rPr>
      </w:pPr>
      <w:r w:rsidRPr="003326DE">
        <w:rPr>
          <w:rFonts w:hint="cs"/>
          <w:sz w:val="24"/>
          <w:rtl/>
        </w:rPr>
        <w:t xml:space="preserve">הוראה זו חלה על נותן אשראי המבקש </w:t>
      </w:r>
      <w:r w:rsidR="00651A92" w:rsidRPr="003326DE">
        <w:rPr>
          <w:rFonts w:hint="cs"/>
          <w:sz w:val="24"/>
          <w:rtl/>
        </w:rPr>
        <w:t>להירשם כ</w:t>
      </w:r>
      <w:r w:rsidRPr="003326DE">
        <w:rPr>
          <w:rFonts w:hint="cs"/>
          <w:sz w:val="24"/>
          <w:rtl/>
        </w:rPr>
        <w:t xml:space="preserve">משתמש בנתוני אשראי, ואינו מקור מידע החייב </w:t>
      </w:r>
      <w:r w:rsidR="001138C4" w:rsidRPr="003326DE">
        <w:rPr>
          <w:rFonts w:hint="cs"/>
          <w:sz w:val="24"/>
          <w:rtl/>
        </w:rPr>
        <w:t>ב</w:t>
      </w:r>
      <w:r w:rsidRPr="003326DE">
        <w:rPr>
          <w:rFonts w:hint="cs"/>
          <w:sz w:val="24"/>
          <w:rtl/>
        </w:rPr>
        <w:t>דיווח למאגר בהתאם לסעיף 19(א) לחוק</w:t>
      </w:r>
      <w:r w:rsidR="006A6B01" w:rsidRPr="003326DE">
        <w:rPr>
          <w:rFonts w:hint="cs"/>
          <w:sz w:val="24"/>
          <w:rtl/>
        </w:rPr>
        <w:t>.</w:t>
      </w:r>
    </w:p>
    <w:p w14:paraId="04E0C5F8" w14:textId="77777777" w:rsidR="00067C07" w:rsidRPr="003326DE" w:rsidRDefault="00E71188" w:rsidP="009575AF">
      <w:pPr>
        <w:pStyle w:val="Heading2"/>
        <w:rPr>
          <w:rtl/>
        </w:rPr>
      </w:pPr>
      <w:r w:rsidRPr="003326DE">
        <w:rPr>
          <w:rFonts w:hint="cs"/>
          <w:rtl/>
        </w:rPr>
        <w:t xml:space="preserve">העברת התחייבות לדיווח </w:t>
      </w:r>
    </w:p>
    <w:p w14:paraId="3E17722B" w14:textId="77777777" w:rsidR="00735346" w:rsidRPr="003326DE" w:rsidRDefault="00E71188" w:rsidP="00651A92">
      <w:pPr>
        <w:pStyle w:val="ListParagraph"/>
        <w:numPr>
          <w:ilvl w:val="0"/>
          <w:numId w:val="15"/>
        </w:numPr>
        <w:spacing w:line="360" w:lineRule="auto"/>
        <w:ind w:left="368" w:hanging="368"/>
        <w:rPr>
          <w:sz w:val="24"/>
        </w:rPr>
      </w:pPr>
      <w:r w:rsidRPr="003326DE">
        <w:rPr>
          <w:rFonts w:hint="cs"/>
          <w:sz w:val="24"/>
          <w:rtl/>
        </w:rPr>
        <w:t>נותן אשראי המבקש להירשם כמשתמש בנתוני אשראי</w:t>
      </w:r>
      <w:r w:rsidR="001138C4" w:rsidRPr="003326DE">
        <w:rPr>
          <w:rFonts w:hint="cs"/>
          <w:sz w:val="24"/>
          <w:rtl/>
        </w:rPr>
        <w:t xml:space="preserve"> </w:t>
      </w:r>
      <w:r w:rsidR="00651A92" w:rsidRPr="003326DE">
        <w:rPr>
          <w:rFonts w:hint="cs"/>
          <w:sz w:val="24"/>
          <w:rtl/>
        </w:rPr>
        <w:t xml:space="preserve">ולהפעיל את </w:t>
      </w:r>
      <w:r w:rsidR="001138C4" w:rsidRPr="003326DE">
        <w:rPr>
          <w:rFonts w:hint="cs"/>
          <w:sz w:val="24"/>
          <w:rtl/>
        </w:rPr>
        <w:t>מנגנון ההדדיות</w:t>
      </w:r>
      <w:r w:rsidRPr="003326DE">
        <w:rPr>
          <w:rFonts w:hint="cs"/>
          <w:sz w:val="24"/>
          <w:rtl/>
        </w:rPr>
        <w:t>, נדרש לה</w:t>
      </w:r>
      <w:r w:rsidR="00735346" w:rsidRPr="003326DE">
        <w:rPr>
          <w:rFonts w:hint="cs"/>
          <w:sz w:val="24"/>
          <w:rtl/>
        </w:rPr>
        <w:t>עביר לממונה כתב התחייבות</w:t>
      </w:r>
      <w:r w:rsidR="006B184E" w:rsidRPr="003326DE">
        <w:rPr>
          <w:rFonts w:hint="cs"/>
          <w:sz w:val="24"/>
          <w:rtl/>
        </w:rPr>
        <w:t xml:space="preserve"> בנוסח שיקבע על ידי הממונה</w:t>
      </w:r>
      <w:r w:rsidR="00564358" w:rsidRPr="003326DE">
        <w:rPr>
          <w:rFonts w:hint="cs"/>
          <w:sz w:val="24"/>
          <w:rtl/>
        </w:rPr>
        <w:t>,</w:t>
      </w:r>
      <w:r w:rsidR="00735346" w:rsidRPr="003326DE">
        <w:rPr>
          <w:rFonts w:hint="cs"/>
          <w:sz w:val="24"/>
          <w:rtl/>
        </w:rPr>
        <w:t xml:space="preserve"> חתום בידי </w:t>
      </w:r>
      <w:proofErr w:type="spellStart"/>
      <w:r w:rsidR="00651A92" w:rsidRPr="003326DE">
        <w:rPr>
          <w:rFonts w:hint="cs"/>
          <w:sz w:val="24"/>
          <w:rtl/>
        </w:rPr>
        <w:t>מורשי</w:t>
      </w:r>
      <w:proofErr w:type="spellEnd"/>
      <w:r w:rsidR="00651A92" w:rsidRPr="003326DE">
        <w:rPr>
          <w:rFonts w:hint="cs"/>
          <w:sz w:val="24"/>
          <w:rtl/>
        </w:rPr>
        <w:t xml:space="preserve"> החתימה של החברה</w:t>
      </w:r>
      <w:r w:rsidR="00735346" w:rsidRPr="003326DE">
        <w:rPr>
          <w:rFonts w:hint="cs"/>
          <w:sz w:val="24"/>
          <w:rtl/>
        </w:rPr>
        <w:t>, שיכלול את הפרטים הבאים:</w:t>
      </w:r>
    </w:p>
    <w:p w14:paraId="2483A281" w14:textId="77777777" w:rsidR="00735346" w:rsidRPr="003326DE" w:rsidRDefault="00735346" w:rsidP="00735346">
      <w:pPr>
        <w:pStyle w:val="ListParagraph"/>
        <w:numPr>
          <w:ilvl w:val="1"/>
          <w:numId w:val="15"/>
        </w:numPr>
        <w:spacing w:line="360" w:lineRule="auto"/>
        <w:rPr>
          <w:sz w:val="24"/>
        </w:rPr>
      </w:pPr>
      <w:r w:rsidRPr="003326DE">
        <w:rPr>
          <w:rFonts w:hint="cs"/>
          <w:sz w:val="24"/>
          <w:rtl/>
        </w:rPr>
        <w:t xml:space="preserve">שם </w:t>
      </w:r>
      <w:r w:rsidR="001138C4" w:rsidRPr="003326DE">
        <w:rPr>
          <w:rFonts w:hint="cs"/>
          <w:sz w:val="24"/>
          <w:rtl/>
        </w:rPr>
        <w:t xml:space="preserve">ומספר </w:t>
      </w:r>
      <w:r w:rsidR="00DA33DC" w:rsidRPr="003326DE">
        <w:rPr>
          <w:rFonts w:hint="cs"/>
          <w:sz w:val="24"/>
          <w:rtl/>
        </w:rPr>
        <w:t xml:space="preserve">הזיהוי של </w:t>
      </w:r>
      <w:r w:rsidRPr="003326DE">
        <w:rPr>
          <w:rFonts w:hint="cs"/>
          <w:sz w:val="24"/>
          <w:rtl/>
        </w:rPr>
        <w:t>נותן האשראי כפי שרשום ברשם החברות.</w:t>
      </w:r>
    </w:p>
    <w:p w14:paraId="68FE0242" w14:textId="77777777" w:rsidR="006B311B" w:rsidRPr="003326DE" w:rsidRDefault="00735346" w:rsidP="006B184E">
      <w:pPr>
        <w:pStyle w:val="ListParagraph"/>
        <w:numPr>
          <w:ilvl w:val="1"/>
          <w:numId w:val="15"/>
        </w:numPr>
        <w:spacing w:line="360" w:lineRule="auto"/>
        <w:rPr>
          <w:sz w:val="24"/>
        </w:rPr>
      </w:pPr>
      <w:r w:rsidRPr="003326DE">
        <w:rPr>
          <w:rFonts w:hint="cs"/>
          <w:sz w:val="24"/>
          <w:rtl/>
        </w:rPr>
        <w:t>התחייבות לדווח למערכת נתוני אשראי, באופן ובמועד שיורה הממונה</w:t>
      </w:r>
      <w:r w:rsidR="006B184E" w:rsidRPr="003326DE">
        <w:rPr>
          <w:rFonts w:hint="cs"/>
          <w:sz w:val="24"/>
          <w:rtl/>
        </w:rPr>
        <w:t>.</w:t>
      </w:r>
      <w:r w:rsidR="004554DC" w:rsidRPr="003326DE">
        <w:rPr>
          <w:rFonts w:hint="cs"/>
          <w:sz w:val="24"/>
          <w:rtl/>
        </w:rPr>
        <w:t xml:space="preserve"> </w:t>
      </w:r>
    </w:p>
    <w:p w14:paraId="73A97E2F" w14:textId="77777777" w:rsidR="00B97931" w:rsidRPr="003326DE" w:rsidRDefault="00735346" w:rsidP="00651A92">
      <w:pPr>
        <w:pStyle w:val="ListParagraph"/>
        <w:numPr>
          <w:ilvl w:val="0"/>
          <w:numId w:val="15"/>
        </w:numPr>
        <w:spacing w:line="360" w:lineRule="auto"/>
        <w:ind w:left="368" w:hanging="368"/>
        <w:rPr>
          <w:sz w:val="24"/>
        </w:rPr>
      </w:pPr>
      <w:r w:rsidRPr="003326DE">
        <w:rPr>
          <w:rFonts w:hint="cs"/>
          <w:sz w:val="24"/>
          <w:rtl/>
        </w:rPr>
        <w:t xml:space="preserve">לכתב </w:t>
      </w:r>
      <w:r w:rsidR="00651A92" w:rsidRPr="003326DE">
        <w:rPr>
          <w:rFonts w:hint="cs"/>
          <w:sz w:val="24"/>
          <w:rtl/>
        </w:rPr>
        <w:t>ה</w:t>
      </w:r>
      <w:r w:rsidRPr="003326DE">
        <w:rPr>
          <w:rFonts w:hint="cs"/>
          <w:sz w:val="24"/>
          <w:rtl/>
        </w:rPr>
        <w:t>התחייבות יצורפו המסמכים הבאים</w:t>
      </w:r>
      <w:r w:rsidR="001138C4" w:rsidRPr="003326DE">
        <w:rPr>
          <w:rFonts w:hint="cs"/>
          <w:sz w:val="24"/>
          <w:rtl/>
        </w:rPr>
        <w:t>:</w:t>
      </w:r>
      <w:r w:rsidRPr="003326DE">
        <w:rPr>
          <w:rFonts w:hint="cs"/>
          <w:sz w:val="24"/>
          <w:rtl/>
        </w:rPr>
        <w:t xml:space="preserve"> </w:t>
      </w:r>
    </w:p>
    <w:p w14:paraId="485AB39B" w14:textId="77777777" w:rsidR="001138C4" w:rsidRPr="003326DE" w:rsidRDefault="001138C4" w:rsidP="00FB7256">
      <w:pPr>
        <w:pStyle w:val="ListParagraph"/>
        <w:numPr>
          <w:ilvl w:val="1"/>
          <w:numId w:val="15"/>
        </w:numPr>
        <w:spacing w:line="360" w:lineRule="auto"/>
        <w:rPr>
          <w:sz w:val="24"/>
        </w:rPr>
      </w:pPr>
      <w:r w:rsidRPr="003326DE">
        <w:rPr>
          <w:rFonts w:hint="cs"/>
          <w:sz w:val="24"/>
          <w:rtl/>
        </w:rPr>
        <w:t xml:space="preserve">העתק רישיון </w:t>
      </w:r>
      <w:r w:rsidR="00DF42F0" w:rsidRPr="003326DE">
        <w:rPr>
          <w:rFonts w:hint="cs"/>
          <w:sz w:val="24"/>
          <w:rtl/>
        </w:rPr>
        <w:t>למת</w:t>
      </w:r>
      <w:r w:rsidR="00FB7256" w:rsidRPr="003326DE">
        <w:rPr>
          <w:rFonts w:hint="cs"/>
          <w:sz w:val="24"/>
          <w:rtl/>
        </w:rPr>
        <w:t>ן</w:t>
      </w:r>
      <w:r w:rsidR="00DF42F0" w:rsidRPr="003326DE">
        <w:rPr>
          <w:rFonts w:hint="cs"/>
          <w:sz w:val="24"/>
          <w:rtl/>
        </w:rPr>
        <w:t xml:space="preserve"> אשראי, רישיון למתן שירותי פיקדון ואשראי, רישיון הנפקה או רישיון להפעלת מערכת לתיווך, </w:t>
      </w:r>
      <w:r w:rsidRPr="003326DE">
        <w:rPr>
          <w:rFonts w:hint="cs"/>
          <w:sz w:val="24"/>
          <w:rtl/>
        </w:rPr>
        <w:t xml:space="preserve">כמפורט בסעיף 3 לכללי נתוני אשראי (הוראות שונות), </w:t>
      </w:r>
      <w:proofErr w:type="spellStart"/>
      <w:r w:rsidRPr="003326DE">
        <w:rPr>
          <w:rFonts w:hint="cs"/>
          <w:sz w:val="24"/>
          <w:rtl/>
        </w:rPr>
        <w:t>התשע"ח</w:t>
      </w:r>
      <w:proofErr w:type="spellEnd"/>
      <w:r w:rsidRPr="003326DE">
        <w:rPr>
          <w:rFonts w:hint="cs"/>
          <w:sz w:val="24"/>
          <w:rtl/>
        </w:rPr>
        <w:t xml:space="preserve">- 2017  או העתק היתר להמשך עיסוק </w:t>
      </w:r>
      <w:r w:rsidR="00E83512" w:rsidRPr="003326DE">
        <w:rPr>
          <w:rFonts w:hint="cs"/>
          <w:sz w:val="24"/>
          <w:rtl/>
        </w:rPr>
        <w:t xml:space="preserve">שניתן לו לפי הוראות </w:t>
      </w:r>
      <w:r w:rsidRPr="003326DE">
        <w:rPr>
          <w:rFonts w:hint="cs"/>
          <w:sz w:val="24"/>
          <w:rtl/>
        </w:rPr>
        <w:t>חוק הפיקוח על שירותים פיננסי</w:t>
      </w:r>
      <w:r w:rsidR="00E83512" w:rsidRPr="003326DE">
        <w:rPr>
          <w:rFonts w:hint="cs"/>
          <w:sz w:val="24"/>
          <w:rtl/>
        </w:rPr>
        <w:t>י</w:t>
      </w:r>
      <w:r w:rsidRPr="003326DE">
        <w:rPr>
          <w:rFonts w:hint="cs"/>
          <w:sz w:val="24"/>
          <w:rtl/>
        </w:rPr>
        <w:t xml:space="preserve">ם </w:t>
      </w:r>
      <w:r w:rsidR="00E83512" w:rsidRPr="003326DE">
        <w:rPr>
          <w:rFonts w:hint="cs"/>
          <w:sz w:val="24"/>
          <w:rtl/>
        </w:rPr>
        <w:t xml:space="preserve">(שירותים פיננסיים </w:t>
      </w:r>
      <w:r w:rsidRPr="003326DE">
        <w:rPr>
          <w:rFonts w:hint="cs"/>
          <w:sz w:val="24"/>
          <w:rtl/>
        </w:rPr>
        <w:t>מוסדרים</w:t>
      </w:r>
      <w:r w:rsidR="00E83512" w:rsidRPr="003326DE">
        <w:rPr>
          <w:rFonts w:hint="cs"/>
          <w:sz w:val="24"/>
          <w:rtl/>
        </w:rPr>
        <w:t>) תשע"ו-2016</w:t>
      </w:r>
      <w:r w:rsidRPr="003326DE">
        <w:rPr>
          <w:rFonts w:hint="cs"/>
          <w:sz w:val="24"/>
          <w:rtl/>
        </w:rPr>
        <w:t xml:space="preserve">. </w:t>
      </w:r>
      <w:r w:rsidR="00F72B26" w:rsidRPr="003326DE">
        <w:rPr>
          <w:rFonts w:hint="cs"/>
          <w:sz w:val="24"/>
          <w:rtl/>
        </w:rPr>
        <w:t xml:space="preserve">אם לא ניתן למבקש </w:t>
      </w:r>
      <w:r w:rsidRPr="003326DE">
        <w:rPr>
          <w:rFonts w:hint="cs"/>
          <w:sz w:val="24"/>
          <w:rtl/>
        </w:rPr>
        <w:t>רישיון או היתר כאמור</w:t>
      </w:r>
      <w:r w:rsidR="00F72B26" w:rsidRPr="003326DE">
        <w:rPr>
          <w:rFonts w:hint="cs"/>
          <w:sz w:val="24"/>
          <w:rtl/>
        </w:rPr>
        <w:t>,</w:t>
      </w:r>
      <w:r w:rsidRPr="003326DE">
        <w:rPr>
          <w:rFonts w:hint="cs"/>
          <w:sz w:val="24"/>
          <w:rtl/>
        </w:rPr>
        <w:t xml:space="preserve"> על המבקש להסביר את הנסיבות בגינן הוא פטור מחובת קבלת רישיון.</w:t>
      </w:r>
    </w:p>
    <w:p w14:paraId="5AA915C0" w14:textId="54FBB367" w:rsidR="006A40B3" w:rsidRPr="003326DE" w:rsidRDefault="006A40B3" w:rsidP="00EB663B">
      <w:pPr>
        <w:pStyle w:val="ListParagraph"/>
        <w:numPr>
          <w:ilvl w:val="1"/>
          <w:numId w:val="15"/>
        </w:numPr>
        <w:spacing w:line="360" w:lineRule="auto"/>
        <w:rPr>
          <w:sz w:val="24"/>
        </w:rPr>
      </w:pPr>
      <w:r w:rsidRPr="003326DE">
        <w:rPr>
          <w:rFonts w:hint="cs"/>
          <w:sz w:val="24"/>
          <w:rtl/>
        </w:rPr>
        <w:t>ערבות בנקאית לתקופה של 24 חודשים על סך 500 א</w:t>
      </w:r>
      <w:r w:rsidR="0068535E" w:rsidRPr="003326DE">
        <w:rPr>
          <w:rFonts w:hint="cs"/>
          <w:sz w:val="24"/>
          <w:rtl/>
        </w:rPr>
        <w:t>לף</w:t>
      </w:r>
      <w:r w:rsidRPr="003326DE">
        <w:rPr>
          <w:rFonts w:hint="cs"/>
          <w:sz w:val="24"/>
          <w:rtl/>
        </w:rPr>
        <w:t xml:space="preserve"> ₪, לפקודת בנק ישראל, שתמומש במקרה בו נותן האשראי הפר את התחייבויות כאמור בסעיף </w:t>
      </w:r>
      <w:r w:rsidR="00EB663B">
        <w:rPr>
          <w:rFonts w:hint="cs"/>
          <w:sz w:val="24"/>
          <w:rtl/>
        </w:rPr>
        <w:t>5.2</w:t>
      </w:r>
      <w:r w:rsidRPr="003326DE">
        <w:rPr>
          <w:rFonts w:hint="cs"/>
          <w:sz w:val="24"/>
          <w:rtl/>
        </w:rPr>
        <w:t>.</w:t>
      </w:r>
      <w:r w:rsidRPr="003326DE">
        <w:rPr>
          <w:sz w:val="24"/>
        </w:rPr>
        <w:t xml:space="preserve">  </w:t>
      </w:r>
      <w:r w:rsidR="0068535E" w:rsidRPr="003326DE">
        <w:rPr>
          <w:rFonts w:hint="cs"/>
          <w:sz w:val="24"/>
          <w:rtl/>
        </w:rPr>
        <w:t xml:space="preserve"> לחלופין, הממונה רשאי </w:t>
      </w:r>
      <w:r w:rsidR="0068535E" w:rsidRPr="003326DE">
        <w:rPr>
          <w:rFonts w:hint="cs"/>
          <w:sz w:val="24"/>
          <w:rtl/>
        </w:rPr>
        <w:lastRenderedPageBreak/>
        <w:t xml:space="preserve">לקבוע כי המבקש </w:t>
      </w:r>
      <w:proofErr w:type="spellStart"/>
      <w:r w:rsidR="0068535E" w:rsidRPr="003326DE">
        <w:rPr>
          <w:rFonts w:hint="cs"/>
          <w:sz w:val="24"/>
          <w:rtl/>
        </w:rPr>
        <w:t>יתן</w:t>
      </w:r>
      <w:proofErr w:type="spellEnd"/>
      <w:r w:rsidR="0068535E" w:rsidRPr="003326DE">
        <w:rPr>
          <w:rFonts w:hint="cs"/>
          <w:sz w:val="24"/>
          <w:rtl/>
        </w:rPr>
        <w:t xml:space="preserve"> לבנק ישראל שטר חוב להבטחת התחייבויותיו, ב</w:t>
      </w:r>
      <w:r w:rsidR="00267C63" w:rsidRPr="003326DE">
        <w:rPr>
          <w:rFonts w:hint="cs"/>
          <w:sz w:val="24"/>
          <w:rtl/>
        </w:rPr>
        <w:t>תנאים וב</w:t>
      </w:r>
      <w:r w:rsidR="0068535E" w:rsidRPr="003326DE">
        <w:rPr>
          <w:rFonts w:hint="cs"/>
          <w:sz w:val="24"/>
          <w:rtl/>
        </w:rPr>
        <w:t>נוסח שייקבע על ידי הממונה.</w:t>
      </w:r>
    </w:p>
    <w:p w14:paraId="23B45BCA" w14:textId="77777777" w:rsidR="00735346" w:rsidRPr="003326DE" w:rsidRDefault="00735346" w:rsidP="009D77C3">
      <w:pPr>
        <w:pStyle w:val="ListParagraph"/>
        <w:numPr>
          <w:ilvl w:val="1"/>
          <w:numId w:val="15"/>
        </w:numPr>
        <w:spacing w:line="360" w:lineRule="auto"/>
        <w:rPr>
          <w:sz w:val="24"/>
          <w:rtl/>
        </w:rPr>
      </w:pPr>
      <w:r w:rsidRPr="003326DE">
        <w:rPr>
          <w:rFonts w:hint="cs"/>
          <w:sz w:val="24"/>
          <w:rtl/>
        </w:rPr>
        <w:t xml:space="preserve">מסמך </w:t>
      </w:r>
      <w:r w:rsidR="003313FB" w:rsidRPr="003326DE">
        <w:rPr>
          <w:rFonts w:hint="cs"/>
          <w:sz w:val="24"/>
          <w:rtl/>
        </w:rPr>
        <w:t xml:space="preserve">חתום </w:t>
      </w:r>
      <w:r w:rsidR="00E83512" w:rsidRPr="003326DE">
        <w:rPr>
          <w:rFonts w:hint="cs"/>
          <w:sz w:val="24"/>
          <w:rtl/>
        </w:rPr>
        <w:t xml:space="preserve">על </w:t>
      </w:r>
      <w:r w:rsidR="003313FB" w:rsidRPr="003326DE">
        <w:rPr>
          <w:rFonts w:hint="cs"/>
          <w:sz w:val="24"/>
          <w:rtl/>
        </w:rPr>
        <w:t xml:space="preserve">ידי המנכ"ל </w:t>
      </w:r>
      <w:r w:rsidR="004969C6" w:rsidRPr="003326DE">
        <w:rPr>
          <w:rFonts w:hint="cs"/>
          <w:sz w:val="24"/>
          <w:rtl/>
        </w:rPr>
        <w:t xml:space="preserve">בצירוף דוח בדיקה </w:t>
      </w:r>
      <w:r w:rsidR="009D77C3" w:rsidRPr="003326DE">
        <w:rPr>
          <w:rFonts w:hint="cs"/>
          <w:sz w:val="24"/>
          <w:rtl/>
        </w:rPr>
        <w:t xml:space="preserve">המתבסס על שאלון הערכה עצמית, בנוסח שקבע הממונה,  </w:t>
      </w:r>
      <w:r w:rsidR="003313FB" w:rsidRPr="003326DE">
        <w:rPr>
          <w:rFonts w:hint="cs"/>
          <w:sz w:val="24"/>
          <w:rtl/>
        </w:rPr>
        <w:t>המאשר את מוכנות</w:t>
      </w:r>
      <w:r w:rsidRPr="003326DE">
        <w:rPr>
          <w:rFonts w:hint="cs"/>
          <w:sz w:val="24"/>
          <w:rtl/>
        </w:rPr>
        <w:t xml:space="preserve"> נותן האשראי </w:t>
      </w:r>
      <w:r w:rsidR="003313FB" w:rsidRPr="003326DE">
        <w:rPr>
          <w:rFonts w:hint="cs"/>
          <w:sz w:val="24"/>
          <w:rtl/>
        </w:rPr>
        <w:t>ו</w:t>
      </w:r>
      <w:r w:rsidRPr="003326DE">
        <w:rPr>
          <w:rFonts w:hint="cs"/>
          <w:sz w:val="24"/>
          <w:rtl/>
        </w:rPr>
        <w:t>עמיד</w:t>
      </w:r>
      <w:r w:rsidR="003313FB" w:rsidRPr="003326DE">
        <w:rPr>
          <w:rFonts w:hint="cs"/>
          <w:sz w:val="24"/>
          <w:rtl/>
        </w:rPr>
        <w:t>תו</w:t>
      </w:r>
      <w:r w:rsidRPr="003326DE">
        <w:rPr>
          <w:rFonts w:hint="cs"/>
          <w:sz w:val="24"/>
          <w:rtl/>
        </w:rPr>
        <w:t xml:space="preserve"> </w:t>
      </w:r>
      <w:r w:rsidR="009575AF" w:rsidRPr="003326DE">
        <w:rPr>
          <w:rFonts w:hint="cs"/>
          <w:sz w:val="24"/>
          <w:rtl/>
        </w:rPr>
        <w:t>בכלל הדרישות הרלבנטיות הקבועות ב</w:t>
      </w:r>
      <w:r w:rsidRPr="003326DE">
        <w:rPr>
          <w:rFonts w:hint="cs"/>
          <w:sz w:val="24"/>
          <w:rtl/>
        </w:rPr>
        <w:t>חוק</w:t>
      </w:r>
      <w:r w:rsidR="00DA33DC" w:rsidRPr="003326DE">
        <w:rPr>
          <w:rFonts w:hint="cs"/>
          <w:sz w:val="24"/>
          <w:rtl/>
        </w:rPr>
        <w:t xml:space="preserve">ים השונים </w:t>
      </w:r>
      <w:r w:rsidRPr="003326DE">
        <w:rPr>
          <w:rFonts w:hint="cs"/>
          <w:sz w:val="24"/>
          <w:rtl/>
        </w:rPr>
        <w:t>ו</w:t>
      </w:r>
      <w:r w:rsidR="00DA33DC" w:rsidRPr="003326DE">
        <w:rPr>
          <w:rFonts w:hint="cs"/>
          <w:sz w:val="24"/>
          <w:rtl/>
        </w:rPr>
        <w:t>ב</w:t>
      </w:r>
      <w:r w:rsidRPr="003326DE">
        <w:rPr>
          <w:rFonts w:hint="cs"/>
          <w:sz w:val="24"/>
          <w:rtl/>
        </w:rPr>
        <w:t>רגולציה ובכלל</w:t>
      </w:r>
      <w:r w:rsidR="001A32DA" w:rsidRPr="003326DE">
        <w:rPr>
          <w:rFonts w:hint="cs"/>
          <w:sz w:val="24"/>
          <w:rtl/>
        </w:rPr>
        <w:t>ן</w:t>
      </w:r>
      <w:r w:rsidRPr="003326DE">
        <w:rPr>
          <w:rFonts w:hint="cs"/>
          <w:sz w:val="24"/>
          <w:rtl/>
        </w:rPr>
        <w:t>:</w:t>
      </w:r>
    </w:p>
    <w:p w14:paraId="59322395" w14:textId="77777777" w:rsidR="00735346" w:rsidRPr="003326DE" w:rsidRDefault="005F09CD" w:rsidP="009575AF">
      <w:pPr>
        <w:pStyle w:val="ListParagraph"/>
        <w:numPr>
          <w:ilvl w:val="2"/>
          <w:numId w:val="15"/>
        </w:numPr>
        <w:spacing w:line="360" w:lineRule="auto"/>
        <w:rPr>
          <w:sz w:val="24"/>
        </w:rPr>
      </w:pPr>
      <w:r w:rsidRPr="003326DE">
        <w:rPr>
          <w:b/>
          <w:sz w:val="24"/>
          <w:rtl/>
        </w:rPr>
        <w:t>חוק נתוני אשראי</w:t>
      </w:r>
      <w:r w:rsidRPr="003326DE">
        <w:rPr>
          <w:rFonts w:hint="cs"/>
          <w:b/>
          <w:sz w:val="24"/>
          <w:rtl/>
        </w:rPr>
        <w:t>,</w:t>
      </w:r>
      <w:r w:rsidRPr="003326DE">
        <w:rPr>
          <w:b/>
          <w:sz w:val="24"/>
          <w:rtl/>
        </w:rPr>
        <w:t xml:space="preserve"> תקנות </w:t>
      </w:r>
      <w:r w:rsidRPr="003326DE">
        <w:rPr>
          <w:rFonts w:hint="cs"/>
          <w:b/>
          <w:sz w:val="24"/>
          <w:rtl/>
        </w:rPr>
        <w:t xml:space="preserve">נתוני אשראי, תשע"ח-2017 </w:t>
      </w:r>
      <w:r w:rsidRPr="003326DE">
        <w:rPr>
          <w:b/>
          <w:sz w:val="24"/>
          <w:rtl/>
        </w:rPr>
        <w:t>כללי נתוני אשראי</w:t>
      </w:r>
      <w:r w:rsidRPr="003326DE">
        <w:rPr>
          <w:rFonts w:hint="cs"/>
          <w:b/>
          <w:sz w:val="24"/>
          <w:rtl/>
        </w:rPr>
        <w:t xml:space="preserve"> (הוראות שונות), התשע"ח-2017, כללי נתוני אשראי (אבטחת מידע ), </w:t>
      </w:r>
      <w:proofErr w:type="spellStart"/>
      <w:r w:rsidRPr="003326DE">
        <w:rPr>
          <w:rFonts w:hint="cs"/>
          <w:b/>
          <w:sz w:val="24"/>
          <w:rtl/>
        </w:rPr>
        <w:t>התשע"ט</w:t>
      </w:r>
      <w:proofErr w:type="spellEnd"/>
      <w:r w:rsidRPr="003326DE">
        <w:rPr>
          <w:rFonts w:hint="cs"/>
          <w:b/>
          <w:sz w:val="24"/>
          <w:rtl/>
        </w:rPr>
        <w:t xml:space="preserve"> </w:t>
      </w:r>
      <w:r w:rsidR="00D73C23" w:rsidRPr="003326DE">
        <w:rPr>
          <w:b/>
          <w:sz w:val="24"/>
          <w:rtl/>
        </w:rPr>
        <w:t>–</w:t>
      </w:r>
      <w:r w:rsidRPr="003326DE">
        <w:rPr>
          <w:rFonts w:hint="cs"/>
          <w:b/>
          <w:sz w:val="24"/>
          <w:rtl/>
        </w:rPr>
        <w:t xml:space="preserve"> 2018</w:t>
      </w:r>
      <w:r w:rsidR="00D73C23" w:rsidRPr="003326DE">
        <w:rPr>
          <w:rFonts w:hint="cs"/>
          <w:b/>
          <w:sz w:val="24"/>
          <w:rtl/>
        </w:rPr>
        <w:t>;</w:t>
      </w:r>
    </w:p>
    <w:p w14:paraId="738BE4BE" w14:textId="77777777" w:rsidR="00735346" w:rsidRPr="003326DE" w:rsidRDefault="005F09CD" w:rsidP="009575AF">
      <w:pPr>
        <w:pStyle w:val="ListParagraph"/>
        <w:numPr>
          <w:ilvl w:val="2"/>
          <w:numId w:val="15"/>
        </w:numPr>
        <w:spacing w:line="360" w:lineRule="auto"/>
        <w:rPr>
          <w:sz w:val="24"/>
          <w:rtl/>
        </w:rPr>
      </w:pPr>
      <w:r w:rsidRPr="003326DE">
        <w:rPr>
          <w:rFonts w:hint="cs"/>
          <w:b/>
          <w:sz w:val="24"/>
          <w:rtl/>
        </w:rPr>
        <w:t xml:space="preserve">חוק </w:t>
      </w:r>
      <w:r w:rsidRPr="003326DE">
        <w:rPr>
          <w:b/>
          <w:sz w:val="24"/>
          <w:rtl/>
        </w:rPr>
        <w:t xml:space="preserve">הגנת הפרטיות </w:t>
      </w:r>
      <w:r w:rsidRPr="003326DE">
        <w:rPr>
          <w:rFonts w:hint="cs"/>
          <w:b/>
          <w:sz w:val="24"/>
          <w:rtl/>
        </w:rPr>
        <w:t xml:space="preserve">תשמ"א-1981 ותקנות הגנת הפרטיות </w:t>
      </w:r>
      <w:r w:rsidRPr="003326DE">
        <w:rPr>
          <w:b/>
          <w:sz w:val="24"/>
          <w:rtl/>
        </w:rPr>
        <w:t>(אבטחת מידע)</w:t>
      </w:r>
      <w:r w:rsidRPr="003326DE">
        <w:rPr>
          <w:rFonts w:hint="cs"/>
          <w:b/>
          <w:sz w:val="24"/>
          <w:rtl/>
        </w:rPr>
        <w:t xml:space="preserve"> תשע"ז-2017</w:t>
      </w:r>
      <w:r w:rsidR="00D73C23" w:rsidRPr="003326DE">
        <w:rPr>
          <w:rFonts w:hint="cs"/>
          <w:sz w:val="24"/>
          <w:rtl/>
        </w:rPr>
        <w:t>;</w:t>
      </w:r>
    </w:p>
    <w:p w14:paraId="58D33027" w14:textId="77777777" w:rsidR="00735346" w:rsidRPr="003326DE" w:rsidRDefault="00735346" w:rsidP="009575AF">
      <w:pPr>
        <w:pStyle w:val="ListParagraph"/>
        <w:numPr>
          <w:ilvl w:val="2"/>
          <w:numId w:val="15"/>
        </w:numPr>
        <w:spacing w:line="360" w:lineRule="auto"/>
        <w:rPr>
          <w:sz w:val="24"/>
          <w:rtl/>
        </w:rPr>
      </w:pPr>
      <w:r w:rsidRPr="003326DE">
        <w:rPr>
          <w:sz w:val="24"/>
          <w:rtl/>
        </w:rPr>
        <w:t>הוראת הממונה מספר 401 – בנושא אמצעי זיהוי</w:t>
      </w:r>
      <w:r w:rsidR="00D73C23" w:rsidRPr="003326DE">
        <w:rPr>
          <w:rFonts w:hint="cs"/>
          <w:sz w:val="24"/>
          <w:rtl/>
        </w:rPr>
        <w:t>;</w:t>
      </w:r>
    </w:p>
    <w:p w14:paraId="38EB2DFF" w14:textId="77777777" w:rsidR="00735346" w:rsidRPr="003326DE" w:rsidRDefault="00735346" w:rsidP="009575AF">
      <w:pPr>
        <w:pStyle w:val="ListParagraph"/>
        <w:numPr>
          <w:ilvl w:val="2"/>
          <w:numId w:val="15"/>
        </w:numPr>
        <w:spacing w:line="360" w:lineRule="auto"/>
        <w:rPr>
          <w:sz w:val="24"/>
        </w:rPr>
      </w:pPr>
      <w:r w:rsidRPr="003326DE">
        <w:rPr>
          <w:sz w:val="24"/>
          <w:rtl/>
        </w:rPr>
        <w:t>הוראת הממונה מספר 402 – בנושא מסירת דוח אשראי ללקוח</w:t>
      </w:r>
      <w:r w:rsidR="00D73C23" w:rsidRPr="003326DE">
        <w:rPr>
          <w:rFonts w:hint="cs"/>
          <w:sz w:val="24"/>
          <w:rtl/>
        </w:rPr>
        <w:t>;</w:t>
      </w:r>
    </w:p>
    <w:p w14:paraId="315063B5" w14:textId="4F9B7027" w:rsidR="00C4439D" w:rsidRPr="003326DE" w:rsidRDefault="009575AF" w:rsidP="0068535E">
      <w:pPr>
        <w:pStyle w:val="ListParagraph"/>
        <w:numPr>
          <w:ilvl w:val="1"/>
          <w:numId w:val="15"/>
        </w:numPr>
        <w:spacing w:line="360" w:lineRule="auto"/>
        <w:rPr>
          <w:sz w:val="24"/>
        </w:rPr>
      </w:pPr>
      <w:r w:rsidRPr="003326DE">
        <w:rPr>
          <w:rFonts w:hint="cs"/>
          <w:sz w:val="24"/>
          <w:rtl/>
        </w:rPr>
        <w:t xml:space="preserve">מסמך המפרט את סוגי העסקאות </w:t>
      </w:r>
      <w:r w:rsidR="0068535E" w:rsidRPr="003326DE">
        <w:rPr>
          <w:rFonts w:hint="cs"/>
          <w:sz w:val="24"/>
          <w:rtl/>
        </w:rPr>
        <w:t xml:space="preserve">בהן מתקשר </w:t>
      </w:r>
      <w:r w:rsidRPr="003326DE">
        <w:rPr>
          <w:rFonts w:hint="cs"/>
          <w:sz w:val="24"/>
          <w:rtl/>
        </w:rPr>
        <w:t>נותן האשראי</w:t>
      </w:r>
      <w:r w:rsidR="0068535E" w:rsidRPr="003326DE">
        <w:rPr>
          <w:rFonts w:hint="cs"/>
          <w:sz w:val="24"/>
          <w:rtl/>
        </w:rPr>
        <w:t xml:space="preserve"> עם</w:t>
      </w:r>
      <w:r w:rsidRPr="003326DE">
        <w:rPr>
          <w:rFonts w:hint="cs"/>
          <w:sz w:val="24"/>
          <w:rtl/>
        </w:rPr>
        <w:t xml:space="preserve"> לקוחות יחידים כהגדרת</w:t>
      </w:r>
      <w:r w:rsidR="00060F51" w:rsidRPr="003326DE">
        <w:rPr>
          <w:rFonts w:hint="cs"/>
          <w:sz w:val="24"/>
          <w:rtl/>
        </w:rPr>
        <w:t>ם</w:t>
      </w:r>
      <w:r w:rsidRPr="003326DE">
        <w:rPr>
          <w:rFonts w:hint="cs"/>
          <w:sz w:val="24"/>
          <w:rtl/>
        </w:rPr>
        <w:t xml:space="preserve"> בחוק, יתרת העסקאות למועד העדכני האחרון, מספרן ומספר היחידים הצפויים להיות מדווחים</w:t>
      </w:r>
      <w:r w:rsidR="00B97931" w:rsidRPr="003326DE">
        <w:rPr>
          <w:rFonts w:hint="cs"/>
          <w:sz w:val="24"/>
          <w:rtl/>
        </w:rPr>
        <w:t>.</w:t>
      </w:r>
      <w:r w:rsidR="00C4439D" w:rsidRPr="003326DE">
        <w:rPr>
          <w:rFonts w:hint="cs"/>
          <w:sz w:val="24"/>
          <w:rtl/>
        </w:rPr>
        <w:t xml:space="preserve"> </w:t>
      </w:r>
    </w:p>
    <w:p w14:paraId="740DE8F3" w14:textId="192A7040" w:rsidR="009575AF" w:rsidRPr="003326DE" w:rsidRDefault="009575AF" w:rsidP="0068535E">
      <w:pPr>
        <w:pStyle w:val="ListParagraph"/>
        <w:numPr>
          <w:ilvl w:val="1"/>
          <w:numId w:val="15"/>
        </w:numPr>
        <w:spacing w:line="360" w:lineRule="auto"/>
        <w:rPr>
          <w:sz w:val="24"/>
        </w:rPr>
      </w:pPr>
      <w:r w:rsidRPr="003326DE">
        <w:rPr>
          <w:rFonts w:hint="cs"/>
          <w:sz w:val="24"/>
          <w:rtl/>
        </w:rPr>
        <w:t xml:space="preserve">תכנית עבודה מפורטת לדיווח </w:t>
      </w:r>
      <w:r w:rsidR="005F4D1C" w:rsidRPr="003326DE">
        <w:rPr>
          <w:rFonts w:hint="cs"/>
          <w:sz w:val="24"/>
          <w:rtl/>
        </w:rPr>
        <w:t>למערכת</w:t>
      </w:r>
      <w:r w:rsidRPr="003326DE">
        <w:rPr>
          <w:rFonts w:hint="cs"/>
          <w:sz w:val="24"/>
          <w:rtl/>
        </w:rPr>
        <w:t xml:space="preserve"> נתוני אשראי בהתאם להורא</w:t>
      </w:r>
      <w:r w:rsidR="00DA33DC" w:rsidRPr="003326DE">
        <w:rPr>
          <w:rFonts w:hint="cs"/>
          <w:sz w:val="24"/>
          <w:rtl/>
        </w:rPr>
        <w:t>ת</w:t>
      </w:r>
      <w:r w:rsidRPr="003326DE">
        <w:rPr>
          <w:rFonts w:hint="cs"/>
          <w:sz w:val="24"/>
          <w:rtl/>
        </w:rPr>
        <w:t xml:space="preserve"> </w:t>
      </w:r>
      <w:r w:rsidR="00D73C23" w:rsidRPr="003326DE">
        <w:rPr>
          <w:rFonts w:hint="cs"/>
          <w:sz w:val="24"/>
          <w:rtl/>
        </w:rPr>
        <w:t>ה</w:t>
      </w:r>
      <w:r w:rsidRPr="003326DE">
        <w:rPr>
          <w:rFonts w:hint="cs"/>
          <w:sz w:val="24"/>
          <w:rtl/>
        </w:rPr>
        <w:t xml:space="preserve">דיווח </w:t>
      </w:r>
      <w:r w:rsidR="00D73C23" w:rsidRPr="003326DE">
        <w:rPr>
          <w:rFonts w:hint="cs"/>
          <w:sz w:val="24"/>
          <w:rtl/>
        </w:rPr>
        <w:t xml:space="preserve">של הממונה - הוראה </w:t>
      </w:r>
      <w:r w:rsidRPr="003326DE">
        <w:rPr>
          <w:rFonts w:hint="cs"/>
          <w:sz w:val="24"/>
          <w:rtl/>
        </w:rPr>
        <w:t>מספר 201</w:t>
      </w:r>
      <w:r w:rsidR="00D73C23" w:rsidRPr="003326DE">
        <w:rPr>
          <w:rFonts w:hint="cs"/>
          <w:sz w:val="24"/>
          <w:rtl/>
        </w:rPr>
        <w:t>,</w:t>
      </w:r>
      <w:r w:rsidRPr="003326DE">
        <w:rPr>
          <w:rFonts w:hint="cs"/>
          <w:sz w:val="24"/>
          <w:rtl/>
        </w:rPr>
        <w:t xml:space="preserve"> בצירוף לוחות זמנים</w:t>
      </w:r>
      <w:r w:rsidR="00D73C23" w:rsidRPr="003326DE">
        <w:rPr>
          <w:rFonts w:hint="cs"/>
          <w:sz w:val="24"/>
          <w:rtl/>
        </w:rPr>
        <w:t xml:space="preserve"> לביצוע התוכנית</w:t>
      </w:r>
      <w:r w:rsidRPr="003326DE">
        <w:rPr>
          <w:rFonts w:hint="cs"/>
          <w:sz w:val="24"/>
          <w:rtl/>
        </w:rPr>
        <w:t>.</w:t>
      </w:r>
    </w:p>
    <w:p w14:paraId="54AE9615" w14:textId="77777777" w:rsidR="005F4D1C" w:rsidRPr="003326DE" w:rsidRDefault="005F4D1C" w:rsidP="00DA33DC">
      <w:pPr>
        <w:pStyle w:val="ListParagraph"/>
        <w:numPr>
          <w:ilvl w:val="1"/>
          <w:numId w:val="15"/>
        </w:numPr>
        <w:spacing w:line="360" w:lineRule="auto"/>
        <w:rPr>
          <w:sz w:val="24"/>
        </w:rPr>
      </w:pPr>
      <w:r w:rsidRPr="003326DE">
        <w:rPr>
          <w:rFonts w:hint="cs"/>
          <w:sz w:val="24"/>
          <w:rtl/>
        </w:rPr>
        <w:t>שם חבר ההנהלה האחראי לדיווח בהתאם להורא</w:t>
      </w:r>
      <w:r w:rsidR="00DA33DC" w:rsidRPr="003326DE">
        <w:rPr>
          <w:rFonts w:hint="cs"/>
          <w:sz w:val="24"/>
          <w:rtl/>
        </w:rPr>
        <w:t>ת הממונה</w:t>
      </w:r>
      <w:r w:rsidRPr="003326DE">
        <w:rPr>
          <w:rFonts w:hint="cs"/>
          <w:sz w:val="24"/>
          <w:rtl/>
        </w:rPr>
        <w:t xml:space="preserve"> מספר</w:t>
      </w:r>
      <w:r w:rsidR="00DA33DC" w:rsidRPr="003326DE">
        <w:rPr>
          <w:rFonts w:hint="cs"/>
          <w:sz w:val="24"/>
          <w:rtl/>
        </w:rPr>
        <w:t xml:space="preserve"> 501 בנושא איסוף מידע ודיווח</w:t>
      </w:r>
      <w:r w:rsidRPr="003326DE">
        <w:rPr>
          <w:rFonts w:hint="cs"/>
          <w:sz w:val="24"/>
          <w:rtl/>
        </w:rPr>
        <w:t>.</w:t>
      </w:r>
    </w:p>
    <w:p w14:paraId="48C07B5F" w14:textId="77777777" w:rsidR="00067C07" w:rsidRPr="003326DE" w:rsidRDefault="009575AF" w:rsidP="009575AF">
      <w:pPr>
        <w:pStyle w:val="Heading2"/>
        <w:rPr>
          <w:rtl/>
        </w:rPr>
      </w:pPr>
      <w:r w:rsidRPr="003326DE">
        <w:rPr>
          <w:rFonts w:hint="cs"/>
          <w:rtl/>
        </w:rPr>
        <w:t>תהליך החיבור</w:t>
      </w:r>
    </w:p>
    <w:p w14:paraId="1B49B9E4" w14:textId="77777777" w:rsidR="006B311B" w:rsidRPr="003326DE" w:rsidRDefault="0053030F" w:rsidP="00D73C23">
      <w:pPr>
        <w:pStyle w:val="ListParagraph"/>
        <w:numPr>
          <w:ilvl w:val="0"/>
          <w:numId w:val="15"/>
        </w:numPr>
        <w:spacing w:line="360" w:lineRule="auto"/>
        <w:ind w:left="368" w:hanging="368"/>
        <w:rPr>
          <w:sz w:val="24"/>
        </w:rPr>
      </w:pPr>
      <w:r w:rsidRPr="003326DE">
        <w:rPr>
          <w:rFonts w:hint="cs"/>
          <w:sz w:val="24"/>
          <w:rtl/>
        </w:rPr>
        <w:t xml:space="preserve">עם קבלת מלוא המסמכים הממונה יבחן את הבקשה </w:t>
      </w:r>
      <w:r w:rsidR="00D73C23" w:rsidRPr="003326DE">
        <w:rPr>
          <w:rFonts w:hint="cs"/>
          <w:sz w:val="24"/>
          <w:rtl/>
        </w:rPr>
        <w:t xml:space="preserve">ויחליט </w:t>
      </w:r>
      <w:r w:rsidRPr="003326DE">
        <w:rPr>
          <w:rFonts w:hint="cs"/>
          <w:sz w:val="24"/>
          <w:rtl/>
        </w:rPr>
        <w:t>בתוך 60 יום</w:t>
      </w:r>
      <w:r w:rsidR="00D73C23" w:rsidRPr="003326DE">
        <w:rPr>
          <w:rFonts w:hint="cs"/>
          <w:sz w:val="24"/>
          <w:rtl/>
        </w:rPr>
        <w:t xml:space="preserve"> האם ניתן לחבר את נותן האשראי למערכת</w:t>
      </w:r>
      <w:r w:rsidR="005F4D1C" w:rsidRPr="003326DE">
        <w:rPr>
          <w:rFonts w:hint="cs"/>
          <w:sz w:val="24"/>
          <w:rtl/>
        </w:rPr>
        <w:t>.</w:t>
      </w:r>
    </w:p>
    <w:p w14:paraId="766D1327" w14:textId="77777777" w:rsidR="0053030F" w:rsidRPr="003326DE" w:rsidRDefault="00D73C23" w:rsidP="002E3CF2">
      <w:pPr>
        <w:pStyle w:val="ListParagraph"/>
        <w:numPr>
          <w:ilvl w:val="0"/>
          <w:numId w:val="15"/>
        </w:numPr>
        <w:spacing w:line="360" w:lineRule="auto"/>
        <w:ind w:left="368" w:hanging="368"/>
        <w:rPr>
          <w:sz w:val="24"/>
        </w:rPr>
      </w:pPr>
      <w:r w:rsidRPr="003326DE">
        <w:rPr>
          <w:rFonts w:hint="cs"/>
          <w:sz w:val="24"/>
          <w:rtl/>
        </w:rPr>
        <w:t xml:space="preserve">אם </w:t>
      </w:r>
      <w:r w:rsidR="0053030F" w:rsidRPr="003326DE">
        <w:rPr>
          <w:rFonts w:hint="cs"/>
          <w:sz w:val="24"/>
          <w:rtl/>
        </w:rPr>
        <w:t>ת</w:t>
      </w:r>
      <w:r w:rsidR="0068535E" w:rsidRPr="003326DE">
        <w:rPr>
          <w:rFonts w:hint="cs"/>
          <w:sz w:val="24"/>
          <w:rtl/>
        </w:rPr>
        <w:t>י</w:t>
      </w:r>
      <w:r w:rsidR="0053030F" w:rsidRPr="003326DE">
        <w:rPr>
          <w:rFonts w:hint="cs"/>
          <w:sz w:val="24"/>
          <w:rtl/>
        </w:rPr>
        <w:t>דחה בקשת נותן אשראי להתחבר למערכת</w:t>
      </w:r>
      <w:r w:rsidRPr="003326DE">
        <w:rPr>
          <w:rFonts w:hint="cs"/>
          <w:sz w:val="24"/>
          <w:rtl/>
        </w:rPr>
        <w:t>,</w:t>
      </w:r>
      <w:r w:rsidR="0053030F" w:rsidRPr="003326DE">
        <w:rPr>
          <w:rFonts w:hint="cs"/>
          <w:sz w:val="24"/>
          <w:rtl/>
        </w:rPr>
        <w:t xml:space="preserve"> </w:t>
      </w:r>
      <w:r w:rsidRPr="003326DE">
        <w:rPr>
          <w:rFonts w:hint="cs"/>
          <w:sz w:val="24"/>
          <w:rtl/>
        </w:rPr>
        <w:t xml:space="preserve">הוא יהיה רשאי </w:t>
      </w:r>
      <w:r w:rsidR="0053030F" w:rsidRPr="003326DE">
        <w:rPr>
          <w:rFonts w:hint="cs"/>
          <w:sz w:val="24"/>
          <w:rtl/>
        </w:rPr>
        <w:t>ל</w:t>
      </w:r>
      <w:r w:rsidR="00060F51" w:rsidRPr="003326DE">
        <w:rPr>
          <w:rFonts w:hint="cs"/>
          <w:sz w:val="24"/>
          <w:rtl/>
        </w:rPr>
        <w:t xml:space="preserve">טעון </w:t>
      </w:r>
      <w:r w:rsidR="0053030F" w:rsidRPr="003326DE">
        <w:rPr>
          <w:rFonts w:hint="cs"/>
          <w:sz w:val="24"/>
          <w:rtl/>
        </w:rPr>
        <w:t xml:space="preserve">את טענותיו </w:t>
      </w:r>
      <w:r w:rsidRPr="003326DE">
        <w:rPr>
          <w:rFonts w:hint="cs"/>
          <w:sz w:val="24"/>
          <w:rtl/>
        </w:rPr>
        <w:t xml:space="preserve">בפני הממונה, בכתב או בעל פה לפי החלטת הממונה, בתוך </w:t>
      </w:r>
      <w:r w:rsidR="0053030F" w:rsidRPr="003326DE">
        <w:rPr>
          <w:rFonts w:hint="cs"/>
          <w:sz w:val="24"/>
          <w:rtl/>
        </w:rPr>
        <w:t xml:space="preserve">45 יום ממועד </w:t>
      </w:r>
      <w:r w:rsidR="002E3CF2" w:rsidRPr="003326DE">
        <w:rPr>
          <w:rFonts w:hint="cs"/>
          <w:sz w:val="24"/>
          <w:rtl/>
        </w:rPr>
        <w:t xml:space="preserve">מסירת </w:t>
      </w:r>
      <w:r w:rsidR="0053030F" w:rsidRPr="003326DE">
        <w:rPr>
          <w:rFonts w:hint="cs"/>
          <w:sz w:val="24"/>
          <w:rtl/>
        </w:rPr>
        <w:t>החלטת הממונה</w:t>
      </w:r>
      <w:r w:rsidR="002E3CF2" w:rsidRPr="003326DE">
        <w:rPr>
          <w:rFonts w:hint="cs"/>
          <w:sz w:val="24"/>
          <w:rtl/>
        </w:rPr>
        <w:t xml:space="preserve"> כאמור</w:t>
      </w:r>
      <w:r w:rsidR="0053030F" w:rsidRPr="003326DE">
        <w:rPr>
          <w:rFonts w:hint="cs"/>
          <w:sz w:val="24"/>
          <w:rtl/>
        </w:rPr>
        <w:t>.</w:t>
      </w:r>
    </w:p>
    <w:p w14:paraId="5184A944" w14:textId="77777777" w:rsidR="0053030F" w:rsidRPr="003326DE" w:rsidRDefault="002E3CF2" w:rsidP="002E3CF2">
      <w:pPr>
        <w:pStyle w:val="ListParagraph"/>
        <w:numPr>
          <w:ilvl w:val="0"/>
          <w:numId w:val="15"/>
        </w:numPr>
        <w:spacing w:line="360" w:lineRule="auto"/>
        <w:ind w:left="368" w:hanging="368"/>
        <w:rPr>
          <w:sz w:val="24"/>
        </w:rPr>
      </w:pPr>
      <w:r w:rsidRPr="003326DE">
        <w:rPr>
          <w:rFonts w:hint="cs"/>
          <w:sz w:val="24"/>
          <w:rtl/>
        </w:rPr>
        <w:t>במקרה בו הממונה אישר לנותן האשראי את החיבור למערכת, י</w:t>
      </w:r>
      <w:r w:rsidR="0053030F" w:rsidRPr="003326DE">
        <w:rPr>
          <w:rFonts w:hint="cs"/>
          <w:sz w:val="24"/>
          <w:rtl/>
        </w:rPr>
        <w:t xml:space="preserve">קבע </w:t>
      </w:r>
      <w:r w:rsidRPr="003326DE">
        <w:rPr>
          <w:rFonts w:hint="cs"/>
          <w:sz w:val="24"/>
          <w:rtl/>
        </w:rPr>
        <w:t xml:space="preserve">הממונה </w:t>
      </w:r>
      <w:r w:rsidR="0053030F" w:rsidRPr="003326DE">
        <w:rPr>
          <w:rFonts w:hint="cs"/>
          <w:sz w:val="24"/>
          <w:rtl/>
        </w:rPr>
        <w:t xml:space="preserve">תכנית פרטנית לעניין </w:t>
      </w:r>
      <w:r w:rsidRPr="003326DE">
        <w:rPr>
          <w:rFonts w:hint="cs"/>
          <w:sz w:val="24"/>
          <w:rtl/>
        </w:rPr>
        <w:t xml:space="preserve">ההתחברות של נותן האשראי והפעילות שלו </w:t>
      </w:r>
      <w:r w:rsidR="0053030F" w:rsidRPr="003326DE">
        <w:rPr>
          <w:rFonts w:hint="cs"/>
          <w:sz w:val="24"/>
          <w:rtl/>
        </w:rPr>
        <w:t>כמשתמש בנתוני אשראי וכמקור מידע מדווח.</w:t>
      </w:r>
    </w:p>
    <w:p w14:paraId="695E7755" w14:textId="77777777" w:rsidR="00B1281D" w:rsidRPr="003326DE" w:rsidRDefault="00B1281D" w:rsidP="00B1281D">
      <w:pPr>
        <w:spacing w:line="360" w:lineRule="auto"/>
        <w:jc w:val="both"/>
      </w:pPr>
    </w:p>
    <w:p w14:paraId="6814EBB7" w14:textId="77777777" w:rsidR="00611996" w:rsidRDefault="00013A38" w:rsidP="00BE3C8C">
      <w:pPr>
        <w:pStyle w:val="ListParagraph"/>
        <w:spacing w:line="360" w:lineRule="auto"/>
        <w:ind w:left="360"/>
        <w:jc w:val="center"/>
      </w:pPr>
      <w:r w:rsidRPr="003326DE">
        <w:rPr>
          <w:b/>
          <w:bCs/>
          <w:sz w:val="36"/>
          <w:szCs w:val="36"/>
          <w:rtl/>
        </w:rPr>
        <w:t>* * *</w:t>
      </w:r>
    </w:p>
    <w:sectPr w:rsidR="00611996" w:rsidSect="00103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0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B85D0" w14:textId="77777777" w:rsidR="007D5DA9" w:rsidRDefault="007D5DA9" w:rsidP="00F447BA">
      <w:pPr>
        <w:spacing w:after="0" w:line="240" w:lineRule="auto"/>
      </w:pPr>
      <w:r>
        <w:separator/>
      </w:r>
    </w:p>
  </w:endnote>
  <w:endnote w:type="continuationSeparator" w:id="0">
    <w:p w14:paraId="44DE6854" w14:textId="77777777" w:rsidR="007D5DA9" w:rsidRDefault="007D5DA9" w:rsidP="00F4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F7988" w14:textId="77777777" w:rsidR="00AA3496" w:rsidRDefault="00AA3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12C1" w14:textId="77777777" w:rsidR="008303E3" w:rsidRPr="00F447BA" w:rsidRDefault="008303E3" w:rsidP="002C5202">
    <w:pPr>
      <w:rPr>
        <w:rFonts w:asciiTheme="majorHAnsi" w:eastAsiaTheme="majorEastAsia" w:hAnsiTheme="majorHAnsi" w:cstheme="majorBidi"/>
        <w:sz w:val="40"/>
        <w:szCs w:val="40"/>
        <w:rtl/>
        <w:cs/>
      </w:rPr>
    </w:pPr>
  </w:p>
  <w:p w14:paraId="19B54E28" w14:textId="77777777" w:rsidR="008303E3" w:rsidRDefault="008303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A47F5" w14:textId="77777777" w:rsidR="00AA3496" w:rsidRDefault="00AA3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8DBEF" w14:textId="77777777" w:rsidR="007D5DA9" w:rsidRDefault="007D5DA9" w:rsidP="00F447BA">
      <w:pPr>
        <w:spacing w:after="0" w:line="240" w:lineRule="auto"/>
      </w:pPr>
      <w:r>
        <w:separator/>
      </w:r>
    </w:p>
  </w:footnote>
  <w:footnote w:type="continuationSeparator" w:id="0">
    <w:p w14:paraId="75A961FB" w14:textId="77777777" w:rsidR="007D5DA9" w:rsidRDefault="007D5DA9" w:rsidP="00F4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A8592" w14:textId="04ACD1DB" w:rsidR="00615242" w:rsidRDefault="00615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535" w:type="dxa"/>
      <w:tblInd w:w="-1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כותרת דף"/>
    </w:tblPr>
    <w:tblGrid>
      <w:gridCol w:w="3063"/>
      <w:gridCol w:w="6095"/>
      <w:gridCol w:w="1377"/>
    </w:tblGrid>
    <w:tr w:rsidR="00103340" w:rsidRPr="00BD567D" w14:paraId="0FA0058C" w14:textId="77777777" w:rsidTr="00103340">
      <w:trPr>
        <w:trHeight w:val="45"/>
        <w:tblHeader/>
      </w:trPr>
      <w:tc>
        <w:tcPr>
          <w:tcW w:w="3063" w:type="dxa"/>
        </w:tcPr>
        <w:p w14:paraId="34AC04CA" w14:textId="77777777" w:rsidR="00103340" w:rsidRPr="00BD567D" w:rsidRDefault="00103340" w:rsidP="008C5A0F">
          <w:pPr>
            <w:pStyle w:val="Header"/>
            <w:rPr>
              <w:b/>
              <w:bCs/>
              <w:noProof/>
              <w:color w:val="7F7F7F" w:themeColor="text1" w:themeTint="80"/>
              <w:sz w:val="24"/>
            </w:rPr>
          </w:pPr>
          <w:r w:rsidRPr="00BD567D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62A397E9" wp14:editId="3907A46E">
                <wp:extent cx="1649286" cy="493616"/>
                <wp:effectExtent l="0" t="0" r="8255" b="1905"/>
                <wp:docPr id="11" name="תמונה 11" title="לוגו מערכ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תמונה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363" cy="493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46409279" w14:textId="77777777" w:rsidR="00103340" w:rsidRPr="002A4421" w:rsidRDefault="00103340" w:rsidP="00B75800">
          <w:pPr>
            <w:pStyle w:val="Header"/>
            <w:spacing w:before="120"/>
            <w:rPr>
              <w:rFonts w:ascii="David" w:hAnsi="David"/>
              <w:b/>
              <w:bCs/>
              <w:color w:val="7F7F7F" w:themeColor="text1" w:themeTint="80"/>
              <w:sz w:val="24"/>
              <w:szCs w:val="20"/>
              <w:rtl/>
              <w:lang w:bidi="he"/>
            </w:rPr>
          </w:pP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הממונה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על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שיתוף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בנתוני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אשראי</w:t>
          </w:r>
          <w:r w:rsidRPr="002A4421">
            <w:rPr>
              <w:color w:val="7F7F7F" w:themeColor="text1" w:themeTint="80"/>
              <w:szCs w:val="20"/>
              <w:rtl/>
            </w:rPr>
            <w:t xml:space="preserve">: </w:t>
          </w:r>
          <w:r w:rsidRPr="002A4421">
            <w:rPr>
              <w:rFonts w:hint="eastAsia"/>
              <w:color w:val="7F7F7F" w:themeColor="text1" w:themeTint="80"/>
              <w:sz w:val="24"/>
              <w:rtl/>
            </w:rPr>
            <w:t>הוראה</w:t>
          </w:r>
          <w:r w:rsidRPr="002A4421">
            <w:rPr>
              <w:color w:val="7F7F7F" w:themeColor="text1" w:themeTint="80"/>
              <w:sz w:val="24"/>
              <w:rtl/>
            </w:rPr>
            <w:t xml:space="preserve"> </w:t>
          </w:r>
          <w:r w:rsidR="00B75800">
            <w:rPr>
              <w:rFonts w:hint="cs"/>
              <w:color w:val="7F7F7F" w:themeColor="text1" w:themeTint="80"/>
              <w:sz w:val="24"/>
              <w:rtl/>
            </w:rPr>
            <w:t>למשתמש בנתוני אשראי</w:t>
          </w:r>
        </w:p>
        <w:p w14:paraId="364004AC" w14:textId="28E289E4" w:rsidR="00103340" w:rsidRPr="008339AB" w:rsidRDefault="00E30F02" w:rsidP="001D483D">
          <w:pPr>
            <w:pStyle w:val="Header"/>
            <w:spacing w:before="120"/>
            <w:rPr>
              <w:color w:val="7F7F7F" w:themeColor="text1" w:themeTint="80"/>
              <w:sz w:val="28"/>
              <w:rtl/>
              <w:lang w:bidi="he"/>
            </w:rPr>
          </w:pPr>
          <w:r>
            <w:rPr>
              <w:rFonts w:hint="cs"/>
              <w:color w:val="7F7F7F" w:themeColor="text1" w:themeTint="80"/>
              <w:sz w:val="28"/>
              <w:rtl/>
            </w:rPr>
            <w:t xml:space="preserve">הפעלת מנגנון ההדדיות </w:t>
          </w:r>
          <w:r w:rsidR="00103340" w:rsidRPr="008339AB">
            <w:rPr>
              <w:rFonts w:ascii="David" w:hAnsi="David"/>
              <w:color w:val="7F7F7F" w:themeColor="text1" w:themeTint="80"/>
              <w:sz w:val="24"/>
              <w:szCs w:val="20"/>
              <w:rtl/>
              <w:lang w:bidi="he"/>
            </w:rPr>
            <w:t>[</w:t>
          </w:r>
          <w:r w:rsidR="00103340" w:rsidRPr="00103340">
            <w:rPr>
              <w:rFonts w:ascii="David" w:hAnsi="David"/>
              <w:color w:val="7F7F7F" w:themeColor="text1" w:themeTint="80"/>
              <w:sz w:val="22"/>
              <w:szCs w:val="18"/>
              <w:lang w:bidi="he"/>
            </w:rPr>
            <w:t>1</w:t>
          </w:r>
          <w:r w:rsidR="00103340" w:rsidRPr="008339AB">
            <w:rPr>
              <w:rFonts w:ascii="David" w:hAnsi="David"/>
              <w:color w:val="7F7F7F" w:themeColor="text1" w:themeTint="80"/>
              <w:sz w:val="24"/>
              <w:szCs w:val="20"/>
              <w:rtl/>
              <w:lang w:bidi="he"/>
            </w:rPr>
            <w:t>] (</w:t>
          </w:r>
          <w:r w:rsidR="003326DE">
            <w:rPr>
              <w:rFonts w:ascii="David" w:hAnsi="David"/>
              <w:color w:val="7F7F7F" w:themeColor="text1" w:themeTint="80"/>
              <w:sz w:val="24"/>
              <w:szCs w:val="20"/>
              <w:lang w:bidi="he"/>
            </w:rPr>
            <w:t>20</w:t>
          </w:r>
          <w:r w:rsidR="00103340" w:rsidRPr="008339AB">
            <w:rPr>
              <w:rFonts w:ascii="David" w:hAnsi="David"/>
              <w:color w:val="7F7F7F" w:themeColor="text1" w:themeTint="80"/>
              <w:sz w:val="24"/>
              <w:szCs w:val="20"/>
              <w:rtl/>
              <w:lang w:bidi="he"/>
            </w:rPr>
            <w:t>/</w:t>
          </w:r>
          <w:r w:rsidR="001D483D">
            <w:rPr>
              <w:rFonts w:ascii="David" w:hAnsi="David"/>
              <w:color w:val="7F7F7F" w:themeColor="text1" w:themeTint="80"/>
              <w:sz w:val="24"/>
              <w:szCs w:val="20"/>
              <w:lang w:bidi="he"/>
            </w:rPr>
            <w:t>5</w:t>
          </w:r>
          <w:r w:rsidR="00103340" w:rsidRPr="008339AB">
            <w:rPr>
              <w:color w:val="7F7F7F" w:themeColor="text1" w:themeTint="80"/>
              <w:sz w:val="28"/>
              <w:rtl/>
              <w:lang w:bidi="he"/>
            </w:rPr>
            <w:t>)</w:t>
          </w:r>
        </w:p>
      </w:tc>
      <w:tc>
        <w:tcPr>
          <w:tcW w:w="1377" w:type="dxa"/>
        </w:tcPr>
        <w:p w14:paraId="510016B8" w14:textId="77777777" w:rsidR="00103340" w:rsidRDefault="00103340" w:rsidP="008C5A0F">
          <w:pPr>
            <w:pStyle w:val="Header"/>
            <w:jc w:val="center"/>
            <w:rPr>
              <w:b/>
              <w:bCs/>
              <w:noProof/>
              <w:color w:val="7F7F7F" w:themeColor="text1" w:themeTint="80"/>
              <w:sz w:val="24"/>
              <w:rtl/>
            </w:rPr>
          </w:pPr>
          <w:r w:rsidRPr="00BD567D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753BE12E" wp14:editId="153A9E05">
                <wp:extent cx="556260" cy="556260"/>
                <wp:effectExtent l="0" t="0" r="0" b="0"/>
                <wp:docPr id="12" name="תמונה 9" title="לוגו בנק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תמונה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7481B0" w14:textId="2527B3D0" w:rsidR="00103340" w:rsidRPr="00BD567D" w:rsidRDefault="00E30F02" w:rsidP="008C5A0F">
          <w:pPr>
            <w:pStyle w:val="Header"/>
            <w:jc w:val="center"/>
            <w:rPr>
              <w:b/>
              <w:bCs/>
              <w:noProof/>
              <w:color w:val="7F7F7F" w:themeColor="text1" w:themeTint="80"/>
              <w:sz w:val="24"/>
            </w:rPr>
          </w:pPr>
          <w:r>
            <w:rPr>
              <w:rFonts w:hint="cs"/>
              <w:color w:val="7F7F7F" w:themeColor="text1" w:themeTint="80"/>
              <w:sz w:val="24"/>
              <w:rtl/>
            </w:rPr>
            <w:t>403</w:t>
          </w:r>
          <w:r w:rsidR="00103340" w:rsidRPr="008339AB">
            <w:rPr>
              <w:color w:val="7F7F7F" w:themeColor="text1" w:themeTint="80"/>
              <w:sz w:val="24"/>
              <w:rtl/>
            </w:rPr>
            <w:t xml:space="preserve"> – </w:t>
          </w:r>
          <w:r w:rsidR="00103340" w:rsidRPr="008339AB">
            <w:rPr>
              <w:rFonts w:hint="eastAsia"/>
              <w:color w:val="7F7F7F" w:themeColor="text1" w:themeTint="80"/>
              <w:sz w:val="24"/>
              <w:rtl/>
            </w:rPr>
            <w:t>עמ</w:t>
          </w:r>
          <w:r w:rsidR="00103340" w:rsidRPr="008339AB">
            <w:rPr>
              <w:color w:val="7F7F7F" w:themeColor="text1" w:themeTint="80"/>
              <w:sz w:val="24"/>
              <w:rtl/>
            </w:rPr>
            <w:t xml:space="preserve">' </w:t>
          </w:r>
          <w:r w:rsidR="00103340" w:rsidRPr="008339AB">
            <w:rPr>
              <w:color w:val="7F7F7F" w:themeColor="text1" w:themeTint="80"/>
              <w:sz w:val="24"/>
              <w:rtl/>
            </w:rPr>
            <w:fldChar w:fldCharType="begin"/>
          </w:r>
          <w:r w:rsidR="00103340" w:rsidRPr="008339AB">
            <w:rPr>
              <w:color w:val="7F7F7F" w:themeColor="text1" w:themeTint="80"/>
              <w:sz w:val="24"/>
              <w:rtl/>
            </w:rPr>
            <w:instrText xml:space="preserve"> </w:instrText>
          </w:r>
          <w:r w:rsidR="00103340" w:rsidRPr="008339AB">
            <w:rPr>
              <w:color w:val="7F7F7F" w:themeColor="text1" w:themeTint="80"/>
              <w:sz w:val="24"/>
            </w:rPr>
            <w:instrText>PAGE   \* MERGEFORMAT</w:instrText>
          </w:r>
          <w:r w:rsidR="00103340" w:rsidRPr="008339AB">
            <w:rPr>
              <w:color w:val="7F7F7F" w:themeColor="text1" w:themeTint="80"/>
              <w:sz w:val="24"/>
              <w:rtl/>
            </w:rPr>
            <w:instrText xml:space="preserve"> </w:instrText>
          </w:r>
          <w:r w:rsidR="00103340" w:rsidRPr="008339AB">
            <w:rPr>
              <w:color w:val="7F7F7F" w:themeColor="text1" w:themeTint="80"/>
              <w:sz w:val="24"/>
              <w:rtl/>
            </w:rPr>
            <w:fldChar w:fldCharType="separate"/>
          </w:r>
          <w:r w:rsidR="003A4D78">
            <w:rPr>
              <w:noProof/>
              <w:color w:val="7F7F7F" w:themeColor="text1" w:themeTint="80"/>
              <w:sz w:val="24"/>
              <w:rtl/>
            </w:rPr>
            <w:t>2</w:t>
          </w:r>
          <w:r w:rsidR="00103340" w:rsidRPr="008339AB">
            <w:rPr>
              <w:color w:val="7F7F7F" w:themeColor="text1" w:themeTint="80"/>
              <w:sz w:val="24"/>
              <w:rtl/>
            </w:rPr>
            <w:fldChar w:fldCharType="end"/>
          </w:r>
        </w:p>
      </w:tc>
    </w:tr>
  </w:tbl>
  <w:p w14:paraId="09017FB7" w14:textId="74FB7015" w:rsidR="008303E3" w:rsidRDefault="008303E3" w:rsidP="006E4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535" w:type="dxa"/>
      <w:tblInd w:w="-1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כותרת דף"/>
    </w:tblPr>
    <w:tblGrid>
      <w:gridCol w:w="3063"/>
      <w:gridCol w:w="6095"/>
      <w:gridCol w:w="1377"/>
    </w:tblGrid>
    <w:tr w:rsidR="00103340" w:rsidRPr="00BD567D" w14:paraId="6E03D244" w14:textId="77777777" w:rsidTr="00103340">
      <w:trPr>
        <w:trHeight w:val="45"/>
        <w:tblHeader/>
      </w:trPr>
      <w:tc>
        <w:tcPr>
          <w:tcW w:w="3063" w:type="dxa"/>
        </w:tcPr>
        <w:p w14:paraId="75A98A13" w14:textId="77777777" w:rsidR="00103340" w:rsidRPr="00BD567D" w:rsidRDefault="00103340" w:rsidP="008C5A0F">
          <w:pPr>
            <w:pStyle w:val="Header"/>
            <w:rPr>
              <w:b/>
              <w:bCs/>
              <w:noProof/>
              <w:color w:val="7F7F7F" w:themeColor="text1" w:themeTint="80"/>
              <w:sz w:val="24"/>
            </w:rPr>
          </w:pPr>
          <w:r w:rsidRPr="00BD567D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43B2CD28" wp14:editId="3D755485">
                <wp:extent cx="1649286" cy="493616"/>
                <wp:effectExtent l="0" t="0" r="8255" b="1905"/>
                <wp:docPr id="6" name="תמונה 6" title="לוגו מערכ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תמונה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363" cy="493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0422E681" w14:textId="77777777" w:rsidR="00103340" w:rsidRPr="002A4421" w:rsidRDefault="00103340" w:rsidP="00103340">
          <w:pPr>
            <w:pStyle w:val="Header"/>
            <w:spacing w:before="120"/>
            <w:rPr>
              <w:rFonts w:ascii="David" w:hAnsi="David"/>
              <w:b/>
              <w:bCs/>
              <w:color w:val="7F7F7F" w:themeColor="text1" w:themeTint="80"/>
              <w:sz w:val="24"/>
              <w:szCs w:val="20"/>
              <w:rtl/>
              <w:lang w:bidi="he"/>
            </w:rPr>
          </w:pP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הממונה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על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שיתוף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בנתוני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אשראי</w:t>
          </w:r>
          <w:r w:rsidRPr="002A4421">
            <w:rPr>
              <w:color w:val="7F7F7F" w:themeColor="text1" w:themeTint="80"/>
              <w:szCs w:val="20"/>
              <w:rtl/>
            </w:rPr>
            <w:t xml:space="preserve">: </w:t>
          </w:r>
          <w:r w:rsidRPr="002A4421">
            <w:rPr>
              <w:rFonts w:hint="eastAsia"/>
              <w:color w:val="7F7F7F" w:themeColor="text1" w:themeTint="80"/>
              <w:sz w:val="24"/>
              <w:rtl/>
            </w:rPr>
            <w:t>הוראה</w:t>
          </w:r>
          <w:r w:rsidRPr="002A4421">
            <w:rPr>
              <w:color w:val="7F7F7F" w:themeColor="text1" w:themeTint="80"/>
              <w:sz w:val="24"/>
              <w:rtl/>
            </w:rPr>
            <w:t xml:space="preserve"> </w:t>
          </w:r>
          <w:r w:rsidRPr="002A4421">
            <w:rPr>
              <w:rFonts w:hint="eastAsia"/>
              <w:color w:val="7F7F7F" w:themeColor="text1" w:themeTint="80"/>
              <w:sz w:val="24"/>
              <w:rtl/>
            </w:rPr>
            <w:t>ל</w:t>
          </w:r>
          <w:r>
            <w:rPr>
              <w:rFonts w:hint="cs"/>
              <w:color w:val="7F7F7F" w:themeColor="text1" w:themeTint="80"/>
              <w:sz w:val="24"/>
              <w:rtl/>
            </w:rPr>
            <w:t>לשכות</w:t>
          </w:r>
        </w:p>
        <w:p w14:paraId="49F1900B" w14:textId="77777777" w:rsidR="00103340" w:rsidRPr="008339AB" w:rsidRDefault="00103340" w:rsidP="00103340">
          <w:pPr>
            <w:pStyle w:val="Header"/>
            <w:spacing w:before="120"/>
            <w:rPr>
              <w:color w:val="7F7F7F" w:themeColor="text1" w:themeTint="80"/>
              <w:sz w:val="28"/>
              <w:rtl/>
              <w:lang w:bidi="he"/>
            </w:rPr>
          </w:pPr>
          <w:r>
            <w:rPr>
              <w:rFonts w:hint="cs"/>
              <w:color w:val="7F7F7F" w:themeColor="text1" w:themeTint="80"/>
              <w:sz w:val="28"/>
              <w:rtl/>
            </w:rPr>
            <w:t>שם ההוראה........</w:t>
          </w:r>
          <w:r w:rsidRPr="008339AB">
            <w:rPr>
              <w:rFonts w:ascii="David" w:hAnsi="David"/>
              <w:color w:val="7F7F7F" w:themeColor="text1" w:themeTint="80"/>
              <w:sz w:val="24"/>
              <w:szCs w:val="20"/>
              <w:rtl/>
              <w:lang w:bidi="he"/>
            </w:rPr>
            <w:t>[</w:t>
          </w:r>
          <w:r>
            <w:rPr>
              <w:rFonts w:ascii="David" w:hAnsi="David"/>
              <w:color w:val="7F7F7F" w:themeColor="text1" w:themeTint="80"/>
              <w:sz w:val="24"/>
              <w:szCs w:val="20"/>
              <w:lang w:bidi="he"/>
            </w:rPr>
            <w:t>1</w:t>
          </w:r>
          <w:r w:rsidRPr="008339AB">
            <w:rPr>
              <w:rFonts w:ascii="David" w:hAnsi="David"/>
              <w:color w:val="7F7F7F" w:themeColor="text1" w:themeTint="80"/>
              <w:sz w:val="24"/>
              <w:szCs w:val="20"/>
              <w:rtl/>
              <w:lang w:bidi="he"/>
            </w:rPr>
            <w:t>] (12/18</w:t>
          </w:r>
          <w:r w:rsidRPr="008339AB">
            <w:rPr>
              <w:color w:val="7F7F7F" w:themeColor="text1" w:themeTint="80"/>
              <w:sz w:val="28"/>
              <w:rtl/>
              <w:lang w:bidi="he"/>
            </w:rPr>
            <w:t>)</w:t>
          </w:r>
        </w:p>
      </w:tc>
      <w:tc>
        <w:tcPr>
          <w:tcW w:w="1377" w:type="dxa"/>
        </w:tcPr>
        <w:p w14:paraId="532FE424" w14:textId="77777777" w:rsidR="00103340" w:rsidRDefault="00103340" w:rsidP="008C5A0F">
          <w:pPr>
            <w:pStyle w:val="Header"/>
            <w:jc w:val="center"/>
            <w:rPr>
              <w:b/>
              <w:bCs/>
              <w:noProof/>
              <w:color w:val="7F7F7F" w:themeColor="text1" w:themeTint="80"/>
              <w:sz w:val="24"/>
              <w:rtl/>
            </w:rPr>
          </w:pPr>
          <w:r w:rsidRPr="00BD567D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593835C0" wp14:editId="5C72F2DF">
                <wp:extent cx="556260" cy="556260"/>
                <wp:effectExtent l="0" t="0" r="0" b="0"/>
                <wp:docPr id="7" name="תמונה 9" title="לוגו בנק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תמונה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50135D" w14:textId="77777777" w:rsidR="00103340" w:rsidRPr="00BD567D" w:rsidRDefault="00103340" w:rsidP="008C5A0F">
          <w:pPr>
            <w:pStyle w:val="Header"/>
            <w:jc w:val="center"/>
            <w:rPr>
              <w:b/>
              <w:bCs/>
              <w:noProof/>
              <w:color w:val="7F7F7F" w:themeColor="text1" w:themeTint="80"/>
              <w:sz w:val="24"/>
            </w:rPr>
          </w:pPr>
          <w:r>
            <w:rPr>
              <w:rFonts w:hint="cs"/>
              <w:color w:val="7F7F7F" w:themeColor="text1" w:themeTint="80"/>
              <w:sz w:val="24"/>
              <w:rtl/>
            </w:rPr>
            <w:t>3</w:t>
          </w:r>
          <w:r w:rsidRPr="008339AB">
            <w:rPr>
              <w:color w:val="7F7F7F" w:themeColor="text1" w:themeTint="80"/>
              <w:sz w:val="24"/>
              <w:rtl/>
            </w:rPr>
            <w:t xml:space="preserve">01 – </w:t>
          </w:r>
          <w:r w:rsidRPr="008339AB">
            <w:rPr>
              <w:rFonts w:hint="eastAsia"/>
              <w:color w:val="7F7F7F" w:themeColor="text1" w:themeTint="80"/>
              <w:sz w:val="24"/>
              <w:rtl/>
            </w:rPr>
            <w:t>עמ</w:t>
          </w:r>
          <w:r w:rsidRPr="008339AB">
            <w:rPr>
              <w:color w:val="7F7F7F" w:themeColor="text1" w:themeTint="80"/>
              <w:sz w:val="24"/>
              <w:rtl/>
            </w:rPr>
            <w:t xml:space="preserve">' </w:t>
          </w:r>
          <w:r w:rsidRPr="008339AB">
            <w:rPr>
              <w:color w:val="7F7F7F" w:themeColor="text1" w:themeTint="80"/>
              <w:sz w:val="24"/>
              <w:rtl/>
            </w:rPr>
            <w:fldChar w:fldCharType="begin"/>
          </w:r>
          <w:r w:rsidRPr="008339AB">
            <w:rPr>
              <w:color w:val="7F7F7F" w:themeColor="text1" w:themeTint="80"/>
              <w:sz w:val="24"/>
              <w:rtl/>
            </w:rPr>
            <w:instrText xml:space="preserve"> </w:instrText>
          </w:r>
          <w:r w:rsidRPr="008339AB">
            <w:rPr>
              <w:color w:val="7F7F7F" w:themeColor="text1" w:themeTint="80"/>
              <w:sz w:val="24"/>
            </w:rPr>
            <w:instrText>PAGE   \* MERGEFORMAT</w:instrText>
          </w:r>
          <w:r w:rsidRPr="008339AB">
            <w:rPr>
              <w:color w:val="7F7F7F" w:themeColor="text1" w:themeTint="80"/>
              <w:sz w:val="24"/>
              <w:rtl/>
            </w:rPr>
            <w:instrText xml:space="preserve"> </w:instrText>
          </w:r>
          <w:r w:rsidRPr="008339AB">
            <w:rPr>
              <w:color w:val="7F7F7F" w:themeColor="text1" w:themeTint="80"/>
              <w:sz w:val="24"/>
              <w:rtl/>
            </w:rPr>
            <w:fldChar w:fldCharType="separate"/>
          </w:r>
          <w:r>
            <w:rPr>
              <w:noProof/>
              <w:color w:val="7F7F7F" w:themeColor="text1" w:themeTint="80"/>
              <w:sz w:val="24"/>
              <w:rtl/>
            </w:rPr>
            <w:t>1</w:t>
          </w:r>
          <w:r w:rsidRPr="008339AB">
            <w:rPr>
              <w:color w:val="7F7F7F" w:themeColor="text1" w:themeTint="80"/>
              <w:sz w:val="24"/>
              <w:rtl/>
            </w:rPr>
            <w:fldChar w:fldCharType="end"/>
          </w:r>
        </w:p>
      </w:tc>
    </w:tr>
  </w:tbl>
  <w:p w14:paraId="23A661BB" w14:textId="096F0F5B" w:rsidR="006E4274" w:rsidRDefault="006E4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819"/>
    <w:multiLevelType w:val="hybridMultilevel"/>
    <w:tmpl w:val="1CA65902"/>
    <w:lvl w:ilvl="0" w:tplc="FD509F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325A"/>
    <w:multiLevelType w:val="hybridMultilevel"/>
    <w:tmpl w:val="BC301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7A84"/>
    <w:multiLevelType w:val="hybridMultilevel"/>
    <w:tmpl w:val="A794549C"/>
    <w:lvl w:ilvl="0" w:tplc="AC12BF6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52BF"/>
    <w:multiLevelType w:val="multilevel"/>
    <w:tmpl w:val="EA60F2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5E4DCE"/>
    <w:multiLevelType w:val="hybridMultilevel"/>
    <w:tmpl w:val="6B807E7A"/>
    <w:lvl w:ilvl="0" w:tplc="B7DAA7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07270"/>
    <w:multiLevelType w:val="multilevel"/>
    <w:tmpl w:val="1D7A2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 w15:restartNumberingAfterBreak="0">
    <w:nsid w:val="19FF04A6"/>
    <w:multiLevelType w:val="hybridMultilevel"/>
    <w:tmpl w:val="F89E536A"/>
    <w:lvl w:ilvl="0" w:tplc="5E9626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4D60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24C067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2F0563E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4E6967"/>
    <w:multiLevelType w:val="hybridMultilevel"/>
    <w:tmpl w:val="2488F4D4"/>
    <w:lvl w:ilvl="0" w:tplc="5FEC4FC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504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2" w15:restartNumberingAfterBreak="0">
    <w:nsid w:val="3DF400E1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5244979"/>
    <w:multiLevelType w:val="multilevel"/>
    <w:tmpl w:val="908609EA"/>
    <w:lvl w:ilvl="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0B35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382E2E"/>
    <w:multiLevelType w:val="hybridMultilevel"/>
    <w:tmpl w:val="02FE1B7C"/>
    <w:lvl w:ilvl="0" w:tplc="2BC6D8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816B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David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A712F"/>
    <w:multiLevelType w:val="hybridMultilevel"/>
    <w:tmpl w:val="4AF4E1A0"/>
    <w:lvl w:ilvl="0" w:tplc="49A81B38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</w:rPr>
    </w:lvl>
    <w:lvl w:ilvl="1" w:tplc="D10094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181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91F40E0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C5965A7"/>
    <w:multiLevelType w:val="multilevel"/>
    <w:tmpl w:val="B50878D0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cs="Arial" w:hint="default"/>
        <w:b w:val="0"/>
        <w:bCs w:val="0"/>
        <w:color w:val="auto"/>
        <w:sz w:val="22"/>
        <w:szCs w:val="22"/>
        <w:lang w:val="en-US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:lang w:bidi="he-IL"/>
      </w:rPr>
    </w:lvl>
    <w:lvl w:ilvl="3">
      <w:start w:val="1"/>
      <w:numFmt w:val="decimal"/>
      <w:pStyle w:val="1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  <w:b w:val="0"/>
        <w:bCs w:val="0"/>
        <w:color w:val="auto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2700"/>
        </w:tabs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D2025B1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EAA48B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76486F24"/>
    <w:multiLevelType w:val="hybridMultilevel"/>
    <w:tmpl w:val="5D3EABD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76F44473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84A0D3D"/>
    <w:multiLevelType w:val="multilevel"/>
    <w:tmpl w:val="3CBEA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98C536A"/>
    <w:multiLevelType w:val="multilevel"/>
    <w:tmpl w:val="F6721112"/>
    <w:lvl w:ilvl="0">
      <w:start w:val="1"/>
      <w:numFmt w:val="decimal"/>
      <w:lvlText w:val="%1."/>
      <w:lvlJc w:val="left"/>
      <w:pPr>
        <w:ind w:left="78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6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8" w:hanging="357"/>
      </w:pPr>
      <w:rPr>
        <w:rFonts w:hint="default"/>
      </w:rPr>
    </w:lvl>
  </w:abstractNum>
  <w:abstractNum w:abstractNumId="26" w15:restartNumberingAfterBreak="0">
    <w:nsid w:val="7F750858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17"/>
  </w:num>
  <w:num w:numId="5">
    <w:abstractNumId w:val="12"/>
  </w:num>
  <w:num w:numId="6">
    <w:abstractNumId w:val="24"/>
  </w:num>
  <w:num w:numId="7">
    <w:abstractNumId w:val="19"/>
  </w:num>
  <w:num w:numId="8">
    <w:abstractNumId w:val="15"/>
  </w:num>
  <w:num w:numId="9">
    <w:abstractNumId w:val="16"/>
  </w:num>
  <w:num w:numId="10">
    <w:abstractNumId w:val="5"/>
  </w:num>
  <w:num w:numId="11">
    <w:abstractNumId w:val="1"/>
  </w:num>
  <w:num w:numId="12">
    <w:abstractNumId w:val="20"/>
  </w:num>
  <w:num w:numId="13">
    <w:abstractNumId w:val="26"/>
  </w:num>
  <w:num w:numId="14">
    <w:abstractNumId w:val="18"/>
  </w:num>
  <w:num w:numId="15">
    <w:abstractNumId w:val="13"/>
  </w:num>
  <w:num w:numId="16">
    <w:abstractNumId w:val="14"/>
  </w:num>
  <w:num w:numId="17">
    <w:abstractNumId w:val="7"/>
  </w:num>
  <w:num w:numId="18">
    <w:abstractNumId w:val="21"/>
  </w:num>
  <w:num w:numId="19">
    <w:abstractNumId w:val="8"/>
  </w:num>
  <w:num w:numId="20">
    <w:abstractNumId w:val="11"/>
  </w:num>
  <w:num w:numId="21">
    <w:abstractNumId w:val="2"/>
  </w:num>
  <w:num w:numId="22">
    <w:abstractNumId w:val="0"/>
  </w:num>
  <w:num w:numId="23">
    <w:abstractNumId w:val="10"/>
  </w:num>
  <w:num w:numId="24">
    <w:abstractNumId w:val="4"/>
  </w:num>
  <w:num w:numId="25">
    <w:abstractNumId w:val="25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40"/>
    <w:rsid w:val="00013A38"/>
    <w:rsid w:val="00017BC1"/>
    <w:rsid w:val="00017DE4"/>
    <w:rsid w:val="000215F6"/>
    <w:rsid w:val="00025076"/>
    <w:rsid w:val="00030588"/>
    <w:rsid w:val="000310BE"/>
    <w:rsid w:val="00040BDF"/>
    <w:rsid w:val="00045FF9"/>
    <w:rsid w:val="00054D1D"/>
    <w:rsid w:val="00060859"/>
    <w:rsid w:val="00060F51"/>
    <w:rsid w:val="00067230"/>
    <w:rsid w:val="00067C07"/>
    <w:rsid w:val="00072F76"/>
    <w:rsid w:val="00074F75"/>
    <w:rsid w:val="00080084"/>
    <w:rsid w:val="00084DA5"/>
    <w:rsid w:val="00096D3B"/>
    <w:rsid w:val="000A05F8"/>
    <w:rsid w:val="000A5751"/>
    <w:rsid w:val="000B08F2"/>
    <w:rsid w:val="000B1BDE"/>
    <w:rsid w:val="000C62A3"/>
    <w:rsid w:val="000D6665"/>
    <w:rsid w:val="000D6BDE"/>
    <w:rsid w:val="000D7330"/>
    <w:rsid w:val="000E6F03"/>
    <w:rsid w:val="000F4CFD"/>
    <w:rsid w:val="000F562F"/>
    <w:rsid w:val="000F6C7D"/>
    <w:rsid w:val="000F7FCF"/>
    <w:rsid w:val="00102F1E"/>
    <w:rsid w:val="00103340"/>
    <w:rsid w:val="00111801"/>
    <w:rsid w:val="001138C4"/>
    <w:rsid w:val="00124BBB"/>
    <w:rsid w:val="00127DE2"/>
    <w:rsid w:val="001324F0"/>
    <w:rsid w:val="00141E27"/>
    <w:rsid w:val="00142302"/>
    <w:rsid w:val="00145003"/>
    <w:rsid w:val="00163517"/>
    <w:rsid w:val="00163690"/>
    <w:rsid w:val="001713AD"/>
    <w:rsid w:val="00172BD1"/>
    <w:rsid w:val="00175560"/>
    <w:rsid w:val="00176D70"/>
    <w:rsid w:val="00177E22"/>
    <w:rsid w:val="001802CE"/>
    <w:rsid w:val="0018053B"/>
    <w:rsid w:val="00181ACC"/>
    <w:rsid w:val="00184DAB"/>
    <w:rsid w:val="001915A2"/>
    <w:rsid w:val="00196D97"/>
    <w:rsid w:val="001A32DA"/>
    <w:rsid w:val="001B064A"/>
    <w:rsid w:val="001C284E"/>
    <w:rsid w:val="001C767C"/>
    <w:rsid w:val="001D2B7B"/>
    <w:rsid w:val="001D3D31"/>
    <w:rsid w:val="001D3DFC"/>
    <w:rsid w:val="001D483D"/>
    <w:rsid w:val="001E1848"/>
    <w:rsid w:val="001E185C"/>
    <w:rsid w:val="001E4A02"/>
    <w:rsid w:val="0020558F"/>
    <w:rsid w:val="00213CA3"/>
    <w:rsid w:val="00216290"/>
    <w:rsid w:val="00220BFF"/>
    <w:rsid w:val="002249E2"/>
    <w:rsid w:val="00233689"/>
    <w:rsid w:val="0023754B"/>
    <w:rsid w:val="00240010"/>
    <w:rsid w:val="00250608"/>
    <w:rsid w:val="00267C63"/>
    <w:rsid w:val="00272017"/>
    <w:rsid w:val="002822AA"/>
    <w:rsid w:val="0029360B"/>
    <w:rsid w:val="0029492F"/>
    <w:rsid w:val="002B09BC"/>
    <w:rsid w:val="002B5268"/>
    <w:rsid w:val="002B7550"/>
    <w:rsid w:val="002C146C"/>
    <w:rsid w:val="002C5202"/>
    <w:rsid w:val="002D4B0E"/>
    <w:rsid w:val="002E3CF2"/>
    <w:rsid w:val="002E6D85"/>
    <w:rsid w:val="002F28F2"/>
    <w:rsid w:val="002F3340"/>
    <w:rsid w:val="003104E6"/>
    <w:rsid w:val="00312B96"/>
    <w:rsid w:val="003264F8"/>
    <w:rsid w:val="003313FB"/>
    <w:rsid w:val="003326DE"/>
    <w:rsid w:val="00343208"/>
    <w:rsid w:val="00354F84"/>
    <w:rsid w:val="00355B51"/>
    <w:rsid w:val="00360D90"/>
    <w:rsid w:val="00362EAA"/>
    <w:rsid w:val="00366A54"/>
    <w:rsid w:val="00373B9E"/>
    <w:rsid w:val="00375B45"/>
    <w:rsid w:val="003761ED"/>
    <w:rsid w:val="0038234F"/>
    <w:rsid w:val="0039066A"/>
    <w:rsid w:val="003A4D78"/>
    <w:rsid w:val="003B0925"/>
    <w:rsid w:val="003B3C9E"/>
    <w:rsid w:val="003B5F0B"/>
    <w:rsid w:val="003C1221"/>
    <w:rsid w:val="003E7604"/>
    <w:rsid w:val="003F4E09"/>
    <w:rsid w:val="003F60D7"/>
    <w:rsid w:val="003F67CF"/>
    <w:rsid w:val="00401AF2"/>
    <w:rsid w:val="00402B68"/>
    <w:rsid w:val="00403564"/>
    <w:rsid w:val="00406BB1"/>
    <w:rsid w:val="00414347"/>
    <w:rsid w:val="00424703"/>
    <w:rsid w:val="00430D0A"/>
    <w:rsid w:val="00432751"/>
    <w:rsid w:val="00442B8F"/>
    <w:rsid w:val="00443879"/>
    <w:rsid w:val="00444E6F"/>
    <w:rsid w:val="004466B5"/>
    <w:rsid w:val="004554DC"/>
    <w:rsid w:val="00456B1C"/>
    <w:rsid w:val="00457BF8"/>
    <w:rsid w:val="004620FC"/>
    <w:rsid w:val="00467232"/>
    <w:rsid w:val="00484189"/>
    <w:rsid w:val="00485DF0"/>
    <w:rsid w:val="00492008"/>
    <w:rsid w:val="00496812"/>
    <w:rsid w:val="004969C6"/>
    <w:rsid w:val="004A0753"/>
    <w:rsid w:val="004A3427"/>
    <w:rsid w:val="004C0A02"/>
    <w:rsid w:val="004C1E22"/>
    <w:rsid w:val="004C42C0"/>
    <w:rsid w:val="004D055C"/>
    <w:rsid w:val="004D3EAF"/>
    <w:rsid w:val="004D719F"/>
    <w:rsid w:val="004E0CD2"/>
    <w:rsid w:val="004E6422"/>
    <w:rsid w:val="004F375C"/>
    <w:rsid w:val="004F6EC6"/>
    <w:rsid w:val="004F75F4"/>
    <w:rsid w:val="00514E3F"/>
    <w:rsid w:val="00521872"/>
    <w:rsid w:val="0052556C"/>
    <w:rsid w:val="005278E7"/>
    <w:rsid w:val="0053030F"/>
    <w:rsid w:val="00552FA5"/>
    <w:rsid w:val="0055529A"/>
    <w:rsid w:val="00564358"/>
    <w:rsid w:val="00570713"/>
    <w:rsid w:val="005725E3"/>
    <w:rsid w:val="00572F6B"/>
    <w:rsid w:val="00574D68"/>
    <w:rsid w:val="005753F9"/>
    <w:rsid w:val="0057615F"/>
    <w:rsid w:val="005773D7"/>
    <w:rsid w:val="0059240D"/>
    <w:rsid w:val="0059252E"/>
    <w:rsid w:val="005A43E3"/>
    <w:rsid w:val="005B12B7"/>
    <w:rsid w:val="005B14B5"/>
    <w:rsid w:val="005E167B"/>
    <w:rsid w:val="005E53D2"/>
    <w:rsid w:val="005F07B5"/>
    <w:rsid w:val="005F09CD"/>
    <w:rsid w:val="005F495F"/>
    <w:rsid w:val="005F4D1C"/>
    <w:rsid w:val="005F5957"/>
    <w:rsid w:val="00603285"/>
    <w:rsid w:val="00606D8B"/>
    <w:rsid w:val="00611996"/>
    <w:rsid w:val="00615242"/>
    <w:rsid w:val="00617F65"/>
    <w:rsid w:val="0062157D"/>
    <w:rsid w:val="00630290"/>
    <w:rsid w:val="006305CA"/>
    <w:rsid w:val="00635AA6"/>
    <w:rsid w:val="006415DF"/>
    <w:rsid w:val="00642973"/>
    <w:rsid w:val="00645522"/>
    <w:rsid w:val="00646816"/>
    <w:rsid w:val="00651A92"/>
    <w:rsid w:val="006529E5"/>
    <w:rsid w:val="00662CB4"/>
    <w:rsid w:val="00665811"/>
    <w:rsid w:val="00666A54"/>
    <w:rsid w:val="00673507"/>
    <w:rsid w:val="0067655A"/>
    <w:rsid w:val="0067683F"/>
    <w:rsid w:val="0068271A"/>
    <w:rsid w:val="00684FA9"/>
    <w:rsid w:val="0068532F"/>
    <w:rsid w:val="0068535E"/>
    <w:rsid w:val="0068614A"/>
    <w:rsid w:val="006A40B3"/>
    <w:rsid w:val="006A609B"/>
    <w:rsid w:val="006A6B01"/>
    <w:rsid w:val="006B184E"/>
    <w:rsid w:val="006B311B"/>
    <w:rsid w:val="006C00A7"/>
    <w:rsid w:val="006C0775"/>
    <w:rsid w:val="006C0E5F"/>
    <w:rsid w:val="006C2F86"/>
    <w:rsid w:val="006D5014"/>
    <w:rsid w:val="006E4274"/>
    <w:rsid w:val="006E50E2"/>
    <w:rsid w:val="006E544F"/>
    <w:rsid w:val="006E7602"/>
    <w:rsid w:val="006F5AFA"/>
    <w:rsid w:val="007035BC"/>
    <w:rsid w:val="00706D4C"/>
    <w:rsid w:val="007101B0"/>
    <w:rsid w:val="00712E0D"/>
    <w:rsid w:val="00713C9B"/>
    <w:rsid w:val="00722E78"/>
    <w:rsid w:val="0073005D"/>
    <w:rsid w:val="00733BB8"/>
    <w:rsid w:val="00735346"/>
    <w:rsid w:val="00736B29"/>
    <w:rsid w:val="00744A9C"/>
    <w:rsid w:val="00756334"/>
    <w:rsid w:val="00761623"/>
    <w:rsid w:val="0077474F"/>
    <w:rsid w:val="007778D3"/>
    <w:rsid w:val="00781829"/>
    <w:rsid w:val="00784FF8"/>
    <w:rsid w:val="00785F32"/>
    <w:rsid w:val="00786575"/>
    <w:rsid w:val="00793A6F"/>
    <w:rsid w:val="00795BA0"/>
    <w:rsid w:val="0079605B"/>
    <w:rsid w:val="0079694F"/>
    <w:rsid w:val="007A63F3"/>
    <w:rsid w:val="007B7022"/>
    <w:rsid w:val="007C0987"/>
    <w:rsid w:val="007C11BE"/>
    <w:rsid w:val="007D2226"/>
    <w:rsid w:val="007D3968"/>
    <w:rsid w:val="007D5DA9"/>
    <w:rsid w:val="007E01C8"/>
    <w:rsid w:val="007E143A"/>
    <w:rsid w:val="007F0A8A"/>
    <w:rsid w:val="007F17C9"/>
    <w:rsid w:val="007F2FE0"/>
    <w:rsid w:val="00812846"/>
    <w:rsid w:val="00817115"/>
    <w:rsid w:val="00821F68"/>
    <w:rsid w:val="008303E3"/>
    <w:rsid w:val="00834C5B"/>
    <w:rsid w:val="00843998"/>
    <w:rsid w:val="00850286"/>
    <w:rsid w:val="008574C6"/>
    <w:rsid w:val="008666E5"/>
    <w:rsid w:val="008719C8"/>
    <w:rsid w:val="00887D4B"/>
    <w:rsid w:val="008A62F9"/>
    <w:rsid w:val="008B35DC"/>
    <w:rsid w:val="008B4D23"/>
    <w:rsid w:val="008B564C"/>
    <w:rsid w:val="008C1743"/>
    <w:rsid w:val="008C1DDE"/>
    <w:rsid w:val="008C6C22"/>
    <w:rsid w:val="008C6DC7"/>
    <w:rsid w:val="008D2185"/>
    <w:rsid w:val="008E0793"/>
    <w:rsid w:val="008E303A"/>
    <w:rsid w:val="008E7838"/>
    <w:rsid w:val="008F0369"/>
    <w:rsid w:val="008F61B2"/>
    <w:rsid w:val="00900CA9"/>
    <w:rsid w:val="00903AE4"/>
    <w:rsid w:val="00907A94"/>
    <w:rsid w:val="009202AE"/>
    <w:rsid w:val="0092324D"/>
    <w:rsid w:val="0092330B"/>
    <w:rsid w:val="00936CCE"/>
    <w:rsid w:val="009378D9"/>
    <w:rsid w:val="00941057"/>
    <w:rsid w:val="0094547D"/>
    <w:rsid w:val="00955AE9"/>
    <w:rsid w:val="009575AF"/>
    <w:rsid w:val="00962674"/>
    <w:rsid w:val="00963440"/>
    <w:rsid w:val="00965E60"/>
    <w:rsid w:val="00967E51"/>
    <w:rsid w:val="00974EFE"/>
    <w:rsid w:val="00976656"/>
    <w:rsid w:val="009A0196"/>
    <w:rsid w:val="009A399A"/>
    <w:rsid w:val="009A50F4"/>
    <w:rsid w:val="009C4887"/>
    <w:rsid w:val="009C6CA5"/>
    <w:rsid w:val="009D77C3"/>
    <w:rsid w:val="009E2E33"/>
    <w:rsid w:val="009E3781"/>
    <w:rsid w:val="009E4512"/>
    <w:rsid w:val="009E78C6"/>
    <w:rsid w:val="009F6906"/>
    <w:rsid w:val="009F75EF"/>
    <w:rsid w:val="00A129A5"/>
    <w:rsid w:val="00A20E06"/>
    <w:rsid w:val="00A305F7"/>
    <w:rsid w:val="00A32DE4"/>
    <w:rsid w:val="00A40F3C"/>
    <w:rsid w:val="00A56D8D"/>
    <w:rsid w:val="00A6075A"/>
    <w:rsid w:val="00A71F09"/>
    <w:rsid w:val="00A80051"/>
    <w:rsid w:val="00A84304"/>
    <w:rsid w:val="00A85819"/>
    <w:rsid w:val="00A909DC"/>
    <w:rsid w:val="00A95B40"/>
    <w:rsid w:val="00A9677F"/>
    <w:rsid w:val="00AA3496"/>
    <w:rsid w:val="00AA4D1F"/>
    <w:rsid w:val="00AA575A"/>
    <w:rsid w:val="00AC522A"/>
    <w:rsid w:val="00AD2205"/>
    <w:rsid w:val="00AD5DC6"/>
    <w:rsid w:val="00AD61F9"/>
    <w:rsid w:val="00AE1725"/>
    <w:rsid w:val="00AE5A64"/>
    <w:rsid w:val="00AE769A"/>
    <w:rsid w:val="00AF03CB"/>
    <w:rsid w:val="00AF1B40"/>
    <w:rsid w:val="00AF1D08"/>
    <w:rsid w:val="00B007D2"/>
    <w:rsid w:val="00B1281D"/>
    <w:rsid w:val="00B132A6"/>
    <w:rsid w:val="00B17ADA"/>
    <w:rsid w:val="00B20405"/>
    <w:rsid w:val="00B2373D"/>
    <w:rsid w:val="00B23C32"/>
    <w:rsid w:val="00B25871"/>
    <w:rsid w:val="00B4356D"/>
    <w:rsid w:val="00B45A59"/>
    <w:rsid w:val="00B46AB4"/>
    <w:rsid w:val="00B46FEB"/>
    <w:rsid w:val="00B512B1"/>
    <w:rsid w:val="00B539CF"/>
    <w:rsid w:val="00B539FC"/>
    <w:rsid w:val="00B54FC4"/>
    <w:rsid w:val="00B75800"/>
    <w:rsid w:val="00B77B1C"/>
    <w:rsid w:val="00B77F98"/>
    <w:rsid w:val="00B852EE"/>
    <w:rsid w:val="00B92B10"/>
    <w:rsid w:val="00B973C5"/>
    <w:rsid w:val="00B97931"/>
    <w:rsid w:val="00BB1EDB"/>
    <w:rsid w:val="00BC66A3"/>
    <w:rsid w:val="00BD5B1B"/>
    <w:rsid w:val="00BE17AE"/>
    <w:rsid w:val="00BE1BF6"/>
    <w:rsid w:val="00BE3C8C"/>
    <w:rsid w:val="00BF20E5"/>
    <w:rsid w:val="00BF2FC8"/>
    <w:rsid w:val="00BF4B35"/>
    <w:rsid w:val="00C05E58"/>
    <w:rsid w:val="00C07F8B"/>
    <w:rsid w:val="00C17EF1"/>
    <w:rsid w:val="00C243DA"/>
    <w:rsid w:val="00C26E06"/>
    <w:rsid w:val="00C43A98"/>
    <w:rsid w:val="00C4439D"/>
    <w:rsid w:val="00C46835"/>
    <w:rsid w:val="00C524E3"/>
    <w:rsid w:val="00C54C55"/>
    <w:rsid w:val="00C61A49"/>
    <w:rsid w:val="00C632DC"/>
    <w:rsid w:val="00C64354"/>
    <w:rsid w:val="00C757EA"/>
    <w:rsid w:val="00C840FC"/>
    <w:rsid w:val="00C925E1"/>
    <w:rsid w:val="00C929E1"/>
    <w:rsid w:val="00C9361A"/>
    <w:rsid w:val="00CA0E43"/>
    <w:rsid w:val="00CA321D"/>
    <w:rsid w:val="00CC1E46"/>
    <w:rsid w:val="00CC719C"/>
    <w:rsid w:val="00CD3719"/>
    <w:rsid w:val="00CF7545"/>
    <w:rsid w:val="00D00187"/>
    <w:rsid w:val="00D02743"/>
    <w:rsid w:val="00D03BB4"/>
    <w:rsid w:val="00D05A02"/>
    <w:rsid w:val="00D11E92"/>
    <w:rsid w:val="00D2389B"/>
    <w:rsid w:val="00D24837"/>
    <w:rsid w:val="00D42D0C"/>
    <w:rsid w:val="00D46F8C"/>
    <w:rsid w:val="00D5600C"/>
    <w:rsid w:val="00D65382"/>
    <w:rsid w:val="00D66E27"/>
    <w:rsid w:val="00D73C23"/>
    <w:rsid w:val="00D7573B"/>
    <w:rsid w:val="00D768BE"/>
    <w:rsid w:val="00D77AF8"/>
    <w:rsid w:val="00D81B5E"/>
    <w:rsid w:val="00D831CB"/>
    <w:rsid w:val="00D91084"/>
    <w:rsid w:val="00D9696E"/>
    <w:rsid w:val="00DA0099"/>
    <w:rsid w:val="00DA33DC"/>
    <w:rsid w:val="00DB6603"/>
    <w:rsid w:val="00DC7538"/>
    <w:rsid w:val="00DE0D5C"/>
    <w:rsid w:val="00DE7D07"/>
    <w:rsid w:val="00DF42F0"/>
    <w:rsid w:val="00E00F15"/>
    <w:rsid w:val="00E02107"/>
    <w:rsid w:val="00E049DF"/>
    <w:rsid w:val="00E05CB6"/>
    <w:rsid w:val="00E06FA8"/>
    <w:rsid w:val="00E30570"/>
    <w:rsid w:val="00E30F02"/>
    <w:rsid w:val="00E338AD"/>
    <w:rsid w:val="00E35059"/>
    <w:rsid w:val="00E45E53"/>
    <w:rsid w:val="00E55F5E"/>
    <w:rsid w:val="00E56FEF"/>
    <w:rsid w:val="00E60C25"/>
    <w:rsid w:val="00E70511"/>
    <w:rsid w:val="00E71188"/>
    <w:rsid w:val="00E75CE2"/>
    <w:rsid w:val="00E8304D"/>
    <w:rsid w:val="00E83512"/>
    <w:rsid w:val="00E91CAF"/>
    <w:rsid w:val="00E9260B"/>
    <w:rsid w:val="00EA6385"/>
    <w:rsid w:val="00EA76FE"/>
    <w:rsid w:val="00EB663B"/>
    <w:rsid w:val="00EC0D3E"/>
    <w:rsid w:val="00EC5C29"/>
    <w:rsid w:val="00ED6163"/>
    <w:rsid w:val="00ED6AAE"/>
    <w:rsid w:val="00EF0938"/>
    <w:rsid w:val="00EF35DC"/>
    <w:rsid w:val="00EF53AF"/>
    <w:rsid w:val="00F140BA"/>
    <w:rsid w:val="00F2142A"/>
    <w:rsid w:val="00F226B5"/>
    <w:rsid w:val="00F254E2"/>
    <w:rsid w:val="00F314BE"/>
    <w:rsid w:val="00F40D0D"/>
    <w:rsid w:val="00F447BA"/>
    <w:rsid w:val="00F45950"/>
    <w:rsid w:val="00F507E6"/>
    <w:rsid w:val="00F5361E"/>
    <w:rsid w:val="00F649C1"/>
    <w:rsid w:val="00F67E6B"/>
    <w:rsid w:val="00F717F7"/>
    <w:rsid w:val="00F72B26"/>
    <w:rsid w:val="00F75057"/>
    <w:rsid w:val="00F838D6"/>
    <w:rsid w:val="00F90896"/>
    <w:rsid w:val="00F97518"/>
    <w:rsid w:val="00FB1F2D"/>
    <w:rsid w:val="00FB5868"/>
    <w:rsid w:val="00FB7256"/>
    <w:rsid w:val="00FC5005"/>
    <w:rsid w:val="00FE51F5"/>
    <w:rsid w:val="00FE7912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130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09"/>
    <w:pPr>
      <w:bidi/>
    </w:pPr>
    <w:rPr>
      <w:rFonts w:cs="David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440"/>
    <w:pPr>
      <w:keepNext/>
      <w:keepLines/>
      <w:spacing w:before="480" w:after="0"/>
      <w:outlineLvl w:val="0"/>
    </w:pPr>
    <w:rPr>
      <w:rFonts w:asciiTheme="majorHAnsi" w:eastAsiaTheme="majorEastAsia" w:hAnsiTheme="majorHAnsi" w:cs="Arial"/>
      <w:b/>
      <w:bCs/>
      <w:color w:val="365F91" w:themeColor="accent1" w:themeShade="BF"/>
      <w:sz w:val="28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75AF"/>
    <w:pPr>
      <w:keepNext/>
      <w:keepLines/>
      <w:spacing w:before="200" w:after="0" w:line="360" w:lineRule="auto"/>
      <w:ind w:hanging="58"/>
      <w:jc w:val="both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96D97"/>
    <w:rPr>
      <w:rFonts w:cs="Arial"/>
      <w:b/>
      <w:bCs/>
      <w:i/>
      <w:iCs w:val="0"/>
      <w:color w:val="4F81BD" w:themeColor="accent1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63440"/>
    <w:rPr>
      <w:rFonts w:asciiTheme="majorHAnsi" w:eastAsiaTheme="majorEastAsia" w:hAnsiTheme="majorHAnsi" w:cs="Arial"/>
      <w:b/>
      <w:bCs/>
      <w:color w:val="365F91" w:themeColor="accent1" w:themeShade="BF"/>
      <w:sz w:val="28"/>
      <w:szCs w:val="36"/>
    </w:rPr>
  </w:style>
  <w:style w:type="paragraph" w:styleId="ListParagraph">
    <w:name w:val="List Paragraph"/>
    <w:basedOn w:val="Normal"/>
    <w:uiPriority w:val="34"/>
    <w:qFormat/>
    <w:rsid w:val="009634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575AF"/>
    <w:rPr>
      <w:rFonts w:asciiTheme="majorHAnsi" w:eastAsiaTheme="majorEastAsia" w:hAnsiTheme="majorHAnsi" w:cs="David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32"/>
    <w:rPr>
      <w:rFonts w:ascii="Tahoma" w:hAnsi="Tahoma" w:cs="Tahoma"/>
      <w:sz w:val="16"/>
      <w:szCs w:val="16"/>
    </w:rPr>
  </w:style>
  <w:style w:type="table" w:styleId="TableGrid">
    <w:name w:val="Table Grid"/>
    <w:aliases w:val="טקסט טבלה תחתונה"/>
    <w:basedOn w:val="TableNormal"/>
    <w:rsid w:val="00102F1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כותרת סעיף"/>
    <w:basedOn w:val="Normal"/>
    <w:rsid w:val="00102F1E"/>
    <w:pPr>
      <w:numPr>
        <w:numId w:val="7"/>
      </w:numPr>
      <w:spacing w:before="240" w:after="0" w:line="360" w:lineRule="auto"/>
      <w:jc w:val="both"/>
    </w:pPr>
    <w:rPr>
      <w:rFonts w:ascii="Arial" w:eastAsia="Times New Roman" w:hAnsi="Arial" w:cs="Arial"/>
      <w:b/>
      <w:bCs/>
      <w:color w:val="1B3461"/>
    </w:rPr>
  </w:style>
  <w:style w:type="paragraph" w:customStyle="1" w:styleId="a0">
    <w:name w:val="טקסט סעיף"/>
    <w:basedOn w:val="Normal"/>
    <w:rsid w:val="00102F1E"/>
    <w:pPr>
      <w:numPr>
        <w:ilvl w:val="1"/>
        <w:numId w:val="7"/>
      </w:numPr>
      <w:spacing w:after="0" w:line="360" w:lineRule="auto"/>
      <w:jc w:val="both"/>
    </w:pPr>
    <w:rPr>
      <w:rFonts w:ascii="Arial" w:eastAsia="Times New Roman" w:hAnsi="Arial" w:cs="Arial"/>
    </w:rPr>
  </w:style>
  <w:style w:type="paragraph" w:customStyle="1" w:styleId="a1">
    <w:name w:val="תת סעיף"/>
    <w:basedOn w:val="Normal"/>
    <w:rsid w:val="00102F1E"/>
    <w:pPr>
      <w:numPr>
        <w:ilvl w:val="2"/>
        <w:numId w:val="7"/>
      </w:numPr>
      <w:spacing w:after="0" w:line="360" w:lineRule="auto"/>
      <w:jc w:val="both"/>
    </w:pPr>
    <w:rPr>
      <w:rFonts w:ascii="Times New Roman" w:eastAsia="Times New Roman" w:hAnsi="Times New Roman" w:cs="Arial"/>
    </w:rPr>
  </w:style>
  <w:style w:type="paragraph" w:customStyle="1" w:styleId="1">
    <w:name w:val="תת סעיף1"/>
    <w:basedOn w:val="a1"/>
    <w:rsid w:val="00102F1E"/>
    <w:pPr>
      <w:numPr>
        <w:ilvl w:val="3"/>
      </w:numPr>
    </w:pPr>
  </w:style>
  <w:style w:type="paragraph" w:customStyle="1" w:styleId="211111">
    <w:name w:val="תת סעיף2 1.1.1.1.1"/>
    <w:basedOn w:val="1"/>
    <w:rsid w:val="00102F1E"/>
    <w:pPr>
      <w:numPr>
        <w:ilvl w:val="4"/>
      </w:numPr>
    </w:pPr>
  </w:style>
  <w:style w:type="paragraph" w:styleId="Header">
    <w:name w:val="header"/>
    <w:basedOn w:val="Normal"/>
    <w:link w:val="HeaderChar"/>
    <w:uiPriority w:val="99"/>
    <w:unhideWhenUsed/>
    <w:rsid w:val="00F447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BA"/>
  </w:style>
  <w:style w:type="paragraph" w:styleId="Footer">
    <w:name w:val="footer"/>
    <w:basedOn w:val="Normal"/>
    <w:link w:val="FooterChar"/>
    <w:uiPriority w:val="99"/>
    <w:unhideWhenUsed/>
    <w:rsid w:val="00F447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BA"/>
  </w:style>
  <w:style w:type="character" w:styleId="CommentReference">
    <w:name w:val="annotation reference"/>
    <w:basedOn w:val="DefaultParagraphFont"/>
    <w:uiPriority w:val="99"/>
    <w:semiHidden/>
    <w:unhideWhenUsed/>
    <w:rsid w:val="006A6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B01"/>
    <w:rPr>
      <w:rFonts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B01"/>
    <w:rPr>
      <w:rFonts w:cs="David"/>
      <w:b/>
      <w:bCs/>
      <w:sz w:val="20"/>
      <w:szCs w:val="20"/>
    </w:rPr>
  </w:style>
  <w:style w:type="character" w:styleId="Hyperlink">
    <w:name w:val="Hyperlink"/>
    <w:rsid w:val="00962674"/>
    <w:rPr>
      <w:b/>
      <w:i/>
      <w:dstrike w:val="0"/>
      <w:color w:val="3464BA"/>
      <w:u w:val="dotted" w:color="3464BA"/>
      <w:vertAlign w:val="baseline"/>
    </w:rPr>
  </w:style>
  <w:style w:type="paragraph" w:styleId="Revision">
    <w:name w:val="Revision"/>
    <w:hidden/>
    <w:uiPriority w:val="99"/>
    <w:semiHidden/>
    <w:rsid w:val="00EC0D3E"/>
    <w:pPr>
      <w:spacing w:after="0" w:line="240" w:lineRule="auto"/>
    </w:pPr>
    <w:rPr>
      <w:rFonts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1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2B1D-A62D-4D56-874C-824E438B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2020-05-11T07:35:00Z</dcterms:created>
  <dcterms:modified xsi:type="dcterms:W3CDTF">2020-05-11T07:36:00Z</dcterms:modified>
</cp:coreProperties>
</file>